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544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w w:val="99"/>
              </w:rPr>
              <w:t>UNITED STATES</w:t>
            </w:r>
          </w:p>
        </w:tc>
        <w:tc>
          <w:tcPr>
            <w:tcW w:w="14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44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rPr>
              <w:t>SECURITIES AND EXCHANGE COMMISSION</w:t>
            </w:r>
          </w:p>
        </w:tc>
        <w:tc>
          <w:tcPr>
            <w:tcW w:w="14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544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7"/>
              </w:rPr>
              <w:t>WASHINGTON, D.C. 20549</w:t>
            </w:r>
          </w:p>
        </w:tc>
        <w:tc>
          <w:tcPr>
            <w:tcW w:w="14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4"/>
        </w:trPr>
        <w:tc>
          <w:tcPr>
            <w:tcW w:w="2300" w:type="dxa"/>
            <w:vAlign w:val="bottom"/>
          </w:tcPr>
          <w:p>
            <w:pPr>
              <w:spacing w:after="0"/>
              <w:rPr>
                <w:sz w:val="24"/>
                <w:szCs w:val="24"/>
                <w:color w:val="auto"/>
              </w:rPr>
            </w:pPr>
          </w:p>
        </w:tc>
        <w:tc>
          <w:tcPr>
            <w:tcW w:w="544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w w:val="99"/>
              </w:rPr>
              <w:t>FORM 10-Q</w:t>
            </w: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4"/>
        </w:trPr>
        <w:tc>
          <w:tcPr>
            <w:tcW w:w="7740" w:type="dxa"/>
            <w:vAlign w:val="bottom"/>
            <w:gridSpan w:val="4"/>
          </w:tcPr>
          <w:p>
            <w:pPr>
              <w:spacing w:after="0"/>
              <w:rPr>
                <w:sz w:val="20"/>
                <w:szCs w:val="20"/>
                <w:color w:val="auto"/>
              </w:rPr>
            </w:pPr>
            <w:r>
              <w:rPr>
                <w:rFonts w:ascii="Arial" w:cs="Arial" w:eastAsia="Arial" w:hAnsi="Arial"/>
                <w:sz w:val="18"/>
                <w:szCs w:val="18"/>
                <w:b w:val="1"/>
                <w:bCs w:val="1"/>
                <w:color w:val="auto"/>
              </w:rPr>
              <w:t>(Mark one)</w:t>
            </w:r>
          </w:p>
        </w:tc>
        <w:tc>
          <w:tcPr>
            <w:tcW w:w="14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4"/>
        </w:trPr>
        <w:tc>
          <w:tcPr>
            <w:tcW w:w="7740" w:type="dxa"/>
            <w:vAlign w:val="bottom"/>
            <w:gridSpan w:val="4"/>
          </w:tcPr>
          <w:p>
            <w:pPr>
              <w:spacing w:after="0"/>
              <w:rPr>
                <w:sz w:val="20"/>
                <w:szCs w:val="20"/>
                <w:color w:val="auto"/>
              </w:rPr>
            </w:pPr>
            <w:r>
              <w:rPr>
                <w:rFonts w:ascii="Arial" w:cs="Arial" w:eastAsia="Arial" w:hAnsi="Arial"/>
                <w:sz w:val="18"/>
                <w:szCs w:val="18"/>
                <w:b w:val="1"/>
                <w:bCs w:val="1"/>
                <w:color w:val="auto"/>
                <w:w w:val="99"/>
              </w:rPr>
              <w:t>[X] Quarterly report pursuant to Section 13 or 15(d) of the Securities Exchange Act of 1934</w:t>
            </w: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4"/>
        </w:trPr>
        <w:tc>
          <w:tcPr>
            <w:tcW w:w="7740" w:type="dxa"/>
            <w:vAlign w:val="bottom"/>
            <w:gridSpan w:val="4"/>
          </w:tcPr>
          <w:p>
            <w:pPr>
              <w:ind w:left="340"/>
              <w:spacing w:after="0"/>
              <w:rPr>
                <w:sz w:val="20"/>
                <w:szCs w:val="20"/>
                <w:color w:val="auto"/>
              </w:rPr>
            </w:pPr>
            <w:r>
              <w:rPr>
                <w:rFonts w:ascii="Arial" w:cs="Arial" w:eastAsia="Arial" w:hAnsi="Arial"/>
                <w:sz w:val="18"/>
                <w:szCs w:val="18"/>
                <w:b w:val="1"/>
                <w:bCs w:val="1"/>
                <w:color w:val="auto"/>
              </w:rPr>
              <w:t>For the quarterly period ended June 30, 2017 or</w:t>
            </w:r>
          </w:p>
        </w:tc>
        <w:tc>
          <w:tcPr>
            <w:tcW w:w="14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4"/>
        </w:trPr>
        <w:tc>
          <w:tcPr>
            <w:tcW w:w="7740" w:type="dxa"/>
            <w:vAlign w:val="bottom"/>
            <w:gridSpan w:val="4"/>
          </w:tcPr>
          <w:p>
            <w:pPr>
              <w:spacing w:after="0"/>
              <w:rPr>
                <w:sz w:val="20"/>
                <w:szCs w:val="20"/>
                <w:color w:val="auto"/>
              </w:rPr>
            </w:pPr>
            <w:r>
              <w:rPr>
                <w:rFonts w:ascii="Arial" w:cs="Arial" w:eastAsia="Arial" w:hAnsi="Arial"/>
                <w:sz w:val="18"/>
                <w:szCs w:val="18"/>
                <w:b w:val="1"/>
                <w:bCs w:val="1"/>
                <w:color w:val="auto"/>
                <w:w w:val="99"/>
              </w:rPr>
              <w:t>[ ] Transition report pursuant to Section 13 or 15(d) of the Securities Exchange Act of 1934</w:t>
            </w: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4"/>
        </w:trPr>
        <w:tc>
          <w:tcPr>
            <w:tcW w:w="7740" w:type="dxa"/>
            <w:vAlign w:val="bottom"/>
            <w:gridSpan w:val="4"/>
          </w:tcPr>
          <w:p>
            <w:pPr>
              <w:ind w:left="320"/>
              <w:spacing w:after="0"/>
              <w:rPr>
                <w:sz w:val="20"/>
                <w:szCs w:val="20"/>
                <w:color w:val="auto"/>
              </w:rPr>
            </w:pPr>
            <w:r>
              <w:rPr>
                <w:rFonts w:ascii="Arial" w:cs="Arial" w:eastAsia="Arial" w:hAnsi="Arial"/>
                <w:sz w:val="18"/>
                <w:szCs w:val="18"/>
                <w:b w:val="1"/>
                <w:bCs w:val="1"/>
                <w:color w:val="auto"/>
              </w:rPr>
              <w:t>For the transition period from _________ to _________ .</w:t>
            </w:r>
          </w:p>
        </w:tc>
        <w:tc>
          <w:tcPr>
            <w:tcW w:w="14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7740" w:type="dxa"/>
            <w:vAlign w:val="bottom"/>
            <w:gridSpan w:val="4"/>
          </w:tcPr>
          <w:p>
            <w:pPr>
              <w:spacing w:after="0"/>
              <w:rPr>
                <w:sz w:val="20"/>
                <w:szCs w:val="20"/>
                <w:color w:val="auto"/>
              </w:rPr>
            </w:pPr>
            <w:r>
              <w:rPr>
                <w:rFonts w:ascii="Arial" w:cs="Arial" w:eastAsia="Arial" w:hAnsi="Arial"/>
                <w:sz w:val="18"/>
                <w:szCs w:val="18"/>
                <w:b w:val="1"/>
                <w:bCs w:val="1"/>
                <w:color w:val="auto"/>
              </w:rPr>
              <w:t>Commission file number 1-13796</w:t>
            </w: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2"/>
        </w:trPr>
        <w:tc>
          <w:tcPr>
            <w:tcW w:w="2300" w:type="dxa"/>
            <w:vAlign w:val="bottom"/>
          </w:tcPr>
          <w:p>
            <w:pPr>
              <w:spacing w:after="0"/>
              <w:rPr>
                <w:sz w:val="24"/>
                <w:szCs w:val="24"/>
                <w:color w:val="auto"/>
              </w:rPr>
            </w:pPr>
          </w:p>
        </w:tc>
        <w:tc>
          <w:tcPr>
            <w:tcW w:w="5440" w:type="dxa"/>
            <w:vAlign w:val="bottom"/>
            <w:tcBorders>
              <w:bottom w:val="single" w:sz="8" w:color="auto"/>
            </w:tcBorders>
            <w:gridSpan w:val="3"/>
          </w:tcPr>
          <w:p>
            <w:pPr>
              <w:jc w:val="center"/>
              <w:ind w:left="1310"/>
              <w:spacing w:after="0"/>
              <w:rPr>
                <w:sz w:val="20"/>
                <w:szCs w:val="20"/>
                <w:color w:val="auto"/>
              </w:rPr>
            </w:pPr>
            <w:r>
              <w:rPr>
                <w:rFonts w:ascii="Arial" w:cs="Arial" w:eastAsia="Arial" w:hAnsi="Arial"/>
                <w:sz w:val="18"/>
                <w:szCs w:val="18"/>
                <w:b w:val="1"/>
                <w:bCs w:val="1"/>
                <w:color w:val="auto"/>
                <w:w w:val="91"/>
              </w:rPr>
              <w:t>Gray Television, Inc.</w:t>
            </w:r>
          </w:p>
        </w:tc>
        <w:tc>
          <w:tcPr>
            <w:tcW w:w="140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224"/>
        </w:trPr>
        <w:tc>
          <w:tcPr>
            <w:tcW w:w="2300" w:type="dxa"/>
            <w:vAlign w:val="bottom"/>
          </w:tcPr>
          <w:p>
            <w:pPr>
              <w:spacing w:after="0"/>
              <w:rPr>
                <w:sz w:val="19"/>
                <w:szCs w:val="19"/>
                <w:color w:val="auto"/>
              </w:rPr>
            </w:pPr>
          </w:p>
        </w:tc>
        <w:tc>
          <w:tcPr>
            <w:tcW w:w="5440" w:type="dxa"/>
            <w:vAlign w:val="bottom"/>
            <w:gridSpan w:val="3"/>
          </w:tcPr>
          <w:p>
            <w:pPr>
              <w:jc w:val="center"/>
              <w:ind w:left="1310"/>
              <w:spacing w:after="0"/>
              <w:rPr>
                <w:sz w:val="20"/>
                <w:szCs w:val="20"/>
                <w:color w:val="auto"/>
              </w:rPr>
            </w:pPr>
            <w:r>
              <w:rPr>
                <w:rFonts w:ascii="Arial" w:cs="Arial" w:eastAsia="Arial" w:hAnsi="Arial"/>
                <w:sz w:val="18"/>
                <w:szCs w:val="18"/>
                <w:color w:val="auto"/>
                <w:w w:val="90"/>
              </w:rPr>
              <w:t>(Exact name of registrant as specified in its charter)</w:t>
            </w:r>
          </w:p>
        </w:tc>
        <w:tc>
          <w:tcPr>
            <w:tcW w:w="14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300" w:type="dxa"/>
            <w:vAlign w:val="bottom"/>
          </w:tcPr>
          <w:p>
            <w:pPr>
              <w:spacing w:after="0"/>
              <w:rPr>
                <w:sz w:val="24"/>
                <w:szCs w:val="24"/>
                <w:color w:val="auto"/>
              </w:rPr>
            </w:pPr>
          </w:p>
        </w:tc>
        <w:tc>
          <w:tcPr>
            <w:tcW w:w="5440" w:type="dxa"/>
            <w:vAlign w:val="bottom"/>
            <w:gridSpan w:val="3"/>
          </w:tcPr>
          <w:p>
            <w:pPr>
              <w:jc w:val="center"/>
              <w:ind w:right="4380"/>
              <w:spacing w:after="0"/>
              <w:rPr>
                <w:sz w:val="20"/>
                <w:szCs w:val="20"/>
                <w:color w:val="auto"/>
              </w:rPr>
            </w:pPr>
            <w:r>
              <w:rPr>
                <w:rFonts w:ascii="Arial" w:cs="Arial" w:eastAsia="Arial" w:hAnsi="Arial"/>
                <w:sz w:val="18"/>
                <w:szCs w:val="18"/>
                <w:b w:val="1"/>
                <w:bCs w:val="1"/>
                <w:color w:val="auto"/>
                <w:w w:val="91"/>
              </w:rPr>
              <w:t>Georgia</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58-0285030</w:t>
            </w:r>
          </w:p>
        </w:tc>
        <w:tc>
          <w:tcPr>
            <w:tcW w:w="2280" w:type="dxa"/>
            <w:vAlign w:val="bottom"/>
          </w:tcPr>
          <w:p>
            <w:pPr>
              <w:spacing w:after="0"/>
              <w:rPr>
                <w:sz w:val="24"/>
                <w:szCs w:val="24"/>
                <w:color w:val="auto"/>
              </w:rPr>
            </w:pPr>
          </w:p>
        </w:tc>
      </w:tr>
      <w:tr>
        <w:trPr>
          <w:trHeight w:val="195"/>
        </w:trPr>
        <w:tc>
          <w:tcPr>
            <w:tcW w:w="56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2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3680" w:type="dxa"/>
            <w:vAlign w:val="bottom"/>
            <w:tcBorders>
              <w:top w:val="single" w:sz="8" w:color="auto"/>
            </w:tcBorders>
            <w:gridSpan w:val="2"/>
          </w:tcPr>
          <w:p>
            <w:pPr>
              <w:jc w:val="center"/>
              <w:ind w:right="182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7740" w:type="dxa"/>
            <w:vAlign w:val="bottom"/>
            <w:gridSpan w:val="4"/>
          </w:tcPr>
          <w:p>
            <w:pPr>
              <w:jc w:val="center"/>
              <w:ind w:right="2100"/>
              <w:spacing w:after="0"/>
              <w:rPr>
                <w:sz w:val="20"/>
                <w:szCs w:val="20"/>
                <w:color w:val="auto"/>
              </w:rPr>
            </w:pPr>
            <w:r>
              <w:rPr>
                <w:rFonts w:ascii="Arial" w:cs="Arial" w:eastAsia="Arial" w:hAnsi="Arial"/>
                <w:sz w:val="18"/>
                <w:szCs w:val="18"/>
                <w:color w:val="auto"/>
                <w:w w:val="92"/>
              </w:rPr>
              <w:t>incorporation or organization)</w:t>
            </w:r>
          </w:p>
        </w:tc>
        <w:tc>
          <w:tcPr>
            <w:tcW w:w="3680" w:type="dxa"/>
            <w:vAlign w:val="bottom"/>
            <w:gridSpan w:val="2"/>
          </w:tcPr>
          <w:p>
            <w:pPr>
              <w:jc w:val="center"/>
              <w:ind w:right="1820"/>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7740" w:type="dxa"/>
            <w:vAlign w:val="bottom"/>
            <w:gridSpan w:val="4"/>
          </w:tcPr>
          <w:p>
            <w:pPr>
              <w:jc w:val="center"/>
              <w:ind w:right="2080"/>
              <w:spacing w:after="0"/>
              <w:rPr>
                <w:sz w:val="20"/>
                <w:szCs w:val="20"/>
                <w:color w:val="auto"/>
              </w:rPr>
            </w:pPr>
            <w:r>
              <w:rPr>
                <w:rFonts w:ascii="Arial" w:cs="Arial" w:eastAsia="Arial" w:hAnsi="Arial"/>
                <w:sz w:val="18"/>
                <w:szCs w:val="18"/>
                <w:b w:val="1"/>
                <w:bCs w:val="1"/>
                <w:color w:val="auto"/>
                <w:w w:val="91"/>
              </w:rPr>
              <w:t>4370 Peachtree Road, NE, Atlanta, Georgia</w:t>
            </w: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30319</w:t>
            </w:r>
          </w:p>
        </w:tc>
        <w:tc>
          <w:tcPr>
            <w:tcW w:w="2280" w:type="dxa"/>
            <w:vAlign w:val="bottom"/>
          </w:tcPr>
          <w:p>
            <w:pPr>
              <w:spacing w:after="0"/>
              <w:rPr>
                <w:sz w:val="24"/>
                <w:szCs w:val="24"/>
                <w:color w:val="auto"/>
              </w:rPr>
            </w:pPr>
          </w:p>
        </w:tc>
      </w:tr>
      <w:tr>
        <w:trPr>
          <w:trHeight w:val="224"/>
        </w:trPr>
        <w:tc>
          <w:tcPr>
            <w:tcW w:w="56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8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3680" w:type="dxa"/>
            <w:vAlign w:val="bottom"/>
            <w:tcBorders>
              <w:top w:val="single" w:sz="8" w:color="auto"/>
            </w:tcBorders>
            <w:gridSpan w:val="2"/>
          </w:tcPr>
          <w:p>
            <w:pPr>
              <w:jc w:val="center"/>
              <w:ind w:right="182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(404) 504-9828</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768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20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768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204" w:lineRule="exact"/>
        <w:rPr>
          <w:sz w:val="24"/>
          <w:szCs w:val="24"/>
          <w:color w:val="auto"/>
        </w:rPr>
      </w:pPr>
    </w:p>
    <w:p>
      <w:pPr>
        <w:ind w:right="18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 Yes </w:t>
      </w:r>
      <w:r>
        <w:rPr>
          <w:rFonts w:ascii="MS PGothic" w:cs="MS PGothic" w:eastAsia="MS PGothic" w:hAnsi="MS PGothic"/>
          <w:sz w:val="18"/>
          <w:szCs w:val="18"/>
          <w:u w:val="single" w:color="auto"/>
          <w:color w:val="auto"/>
          <w:highlight w:val="black"/>
        </w:rPr>
        <w:t>✔</w:t>
      </w:r>
      <w:r>
        <w:rPr>
          <w:rFonts w:ascii="Arial" w:cs="Arial" w:eastAsia="Arial" w:hAnsi="Arial"/>
          <w:sz w:val="18"/>
          <w:szCs w:val="18"/>
          <w:color w:val="auto"/>
        </w:rPr>
        <w:t xml:space="preserve"> No____</w:t>
      </w:r>
    </w:p>
    <w:p>
      <w:pPr>
        <w:spacing w:after="0" w:line="184" w:lineRule="exact"/>
        <w:rPr>
          <w:sz w:val="24"/>
          <w:szCs w:val="24"/>
          <w:color w:val="auto"/>
        </w:rPr>
      </w:pPr>
    </w:p>
    <w:p>
      <w:pPr>
        <w:ind w:right="3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u w:val="single" w:color="auto"/>
          <w:color w:val="auto"/>
          <w:highlight w:val="black"/>
        </w:rPr>
        <w:t>✔</w:t>
      </w:r>
      <w:r>
        <w:rPr>
          <w:rFonts w:ascii="Arial" w:cs="Arial" w:eastAsia="Arial" w:hAnsi="Arial"/>
          <w:sz w:val="18"/>
          <w:szCs w:val="18"/>
          <w:color w:val="auto"/>
        </w:rPr>
        <w:t xml:space="preserve"> No____</w:t>
      </w:r>
    </w:p>
    <w:p>
      <w:pPr>
        <w:spacing w:after="0" w:line="184" w:lineRule="exact"/>
        <w:rPr>
          <w:sz w:val="24"/>
          <w:szCs w:val="24"/>
          <w:color w:val="auto"/>
        </w:rPr>
      </w:pPr>
    </w:p>
    <w:p>
      <w:pPr>
        <w:ind w:right="12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60"/>
          </w:cols>
          <w:pgMar w:left="240" w:top="229" w:right="199" w:bottom="1440" w:gutter="0" w:footer="0" w:header="0"/>
        </w:sectPr>
      </w:pPr>
    </w:p>
    <w:p>
      <w:pPr>
        <w:spacing w:after="0" w:line="149"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1" w:lineRule="exact"/>
        <w:rPr>
          <w:sz w:val="24"/>
          <w:szCs w:val="24"/>
          <w:color w:val="auto"/>
        </w:rPr>
      </w:pPr>
    </w:p>
    <w:p>
      <w:pPr>
        <w:ind w:left="500" w:right="100"/>
        <w:spacing w:after="0" w:line="216"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1"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89" w:lineRule="exact"/>
        <w:rPr>
          <w:sz w:val="24"/>
          <w:szCs w:val="24"/>
          <w:color w:val="auto"/>
        </w:rPr>
      </w:pPr>
    </w:p>
    <w:p>
      <w:pPr>
        <w:sectPr>
          <w:pgSz w:w="11900" w:h="16838" w:orient="portrait"/>
          <w:cols w:equalWidth="0" w:num="2">
            <w:col w:w="4900" w:space="720"/>
            <w:col w:w="5840"/>
          </w:cols>
          <w:pgMar w:left="240" w:top="229" w:right="199" w:bottom="1440" w:gutter="0" w:footer="0" w:header="0"/>
          <w:type w:val="continuous"/>
        </w:sectPr>
      </w:pPr>
    </w:p>
    <w:p>
      <w:pPr>
        <w:spacing w:after="0" w:line="16" w:lineRule="exact"/>
        <w:rPr>
          <w:sz w:val="24"/>
          <w:szCs w:val="24"/>
          <w:color w:val="auto"/>
        </w:rPr>
      </w:pPr>
    </w:p>
    <w:p>
      <w:pPr>
        <w:ind w:right="6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11100" w:type="dxa"/>
            <w:vAlign w:val="bottom"/>
            <w:gridSpan w:val="6"/>
          </w:tcPr>
          <w:p>
            <w:pPr>
              <w:ind w:left="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40" w:type="dxa"/>
            <w:vAlign w:val="bottom"/>
          </w:tcPr>
          <w:p>
            <w:pPr>
              <w:spacing w:after="0"/>
              <w:rPr>
                <w:sz w:val="18"/>
                <w:szCs w:val="18"/>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8"/>
                <w:szCs w:val="18"/>
                <w:color w:val="auto"/>
                <w:w w:val="96"/>
              </w:rPr>
              <w:t>Yes</w:t>
            </w:r>
          </w:p>
        </w:tc>
        <w:tc>
          <w:tcPr>
            <w:tcW w:w="400" w:type="dxa"/>
            <w:vAlign w:val="bottom"/>
          </w:tcPr>
          <w:p>
            <w:pPr>
              <w:spacing w:after="0"/>
              <w:rPr>
                <w:sz w:val="19"/>
                <w:szCs w:val="19"/>
                <w:color w:val="auto"/>
              </w:rPr>
            </w:pPr>
          </w:p>
        </w:tc>
        <w:tc>
          <w:tcPr>
            <w:tcW w:w="4920" w:type="dxa"/>
            <w:vAlign w:val="bottom"/>
            <w:gridSpan w:val="3"/>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_</w:t>
            </w:r>
          </w:p>
        </w:tc>
        <w:tc>
          <w:tcPr>
            <w:tcW w:w="28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20" w:type="dxa"/>
            <w:vAlign w:val="bottom"/>
          </w:tcPr>
          <w:p>
            <w:pPr>
              <w:spacing w:after="0"/>
              <w:rPr>
                <w:sz w:val="24"/>
                <w:szCs w:val="24"/>
                <w:color w:val="auto"/>
              </w:rPr>
            </w:pPr>
          </w:p>
        </w:tc>
        <w:tc>
          <w:tcPr>
            <w:tcW w:w="11100" w:type="dxa"/>
            <w:vAlign w:val="bottom"/>
            <w:gridSpan w:val="6"/>
          </w:tcPr>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practical date.</w:t>
            </w:r>
          </w:p>
        </w:tc>
        <w:tc>
          <w:tcPr>
            <w:tcW w:w="40" w:type="dxa"/>
            <w:vAlign w:val="bottom"/>
          </w:tcPr>
          <w:p>
            <w:pPr>
              <w:spacing w:after="0"/>
              <w:rPr>
                <w:sz w:val="24"/>
                <w:szCs w:val="24"/>
                <w:color w:val="auto"/>
              </w:rPr>
            </w:pPr>
          </w:p>
        </w:tc>
      </w:tr>
      <w:tr>
        <w:trPr>
          <w:trHeight w:val="432"/>
        </w:trPr>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ind w:right="1510"/>
              <w:spacing w:after="0"/>
              <w:rPr>
                <w:sz w:val="20"/>
                <w:szCs w:val="20"/>
                <w:color w:val="auto"/>
              </w:rPr>
            </w:pPr>
            <w:r>
              <w:rPr>
                <w:rFonts w:ascii="Arial" w:cs="Arial" w:eastAsia="Arial" w:hAnsi="Arial"/>
                <w:sz w:val="18"/>
                <w:szCs w:val="18"/>
                <w:b w:val="1"/>
                <w:bCs w:val="1"/>
                <w:color w:val="auto"/>
                <w:w w:val="91"/>
              </w:rPr>
              <w:t>Common Stock (No Par Value)</w:t>
            </w:r>
          </w:p>
        </w:tc>
        <w:tc>
          <w:tcPr>
            <w:tcW w:w="28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Class A Common Stock (No Par Value)</w:t>
            </w:r>
          </w:p>
        </w:tc>
        <w:tc>
          <w:tcPr>
            <w:tcW w:w="40" w:type="dxa"/>
            <w:vAlign w:val="bottom"/>
          </w:tcPr>
          <w:p>
            <w:pPr>
              <w:spacing w:after="0"/>
              <w:rPr>
                <w:sz w:val="24"/>
                <w:szCs w:val="24"/>
                <w:color w:val="auto"/>
              </w:rPr>
            </w:pPr>
          </w:p>
        </w:tc>
      </w:tr>
      <w:tr>
        <w:trPr>
          <w:trHeight w:val="228"/>
        </w:trPr>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92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88"/>
              </w:rPr>
              <w:t>66,003,588 shares outstanding as of July 31, 2017</w:t>
            </w:r>
          </w:p>
        </w:tc>
        <w:tc>
          <w:tcPr>
            <w:tcW w:w="28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8"/>
              </w:rPr>
              <w:t>6,598,377 shares outstanding as of July 31, 2017</w:t>
            </w:r>
          </w:p>
        </w:tc>
        <w:tc>
          <w:tcPr>
            <w:tcW w:w="40" w:type="dxa"/>
            <w:vAlign w:val="bottom"/>
          </w:tcPr>
          <w:p>
            <w:pPr>
              <w:spacing w:after="0"/>
              <w:rPr>
                <w:sz w:val="19"/>
                <w:szCs w:val="19"/>
                <w:color w:val="auto"/>
              </w:rPr>
            </w:pPr>
          </w:p>
        </w:tc>
      </w:tr>
      <w:tr>
        <w:trPr>
          <w:trHeight w:val="762"/>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3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0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5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9"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INDEX</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GRAY TELEVISION,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PART I.</w:t>
            </w:r>
          </w:p>
        </w:tc>
        <w:tc>
          <w:tcPr>
            <w:tcW w:w="93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FINANCIAL INFORMATION</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PAGE</w:t>
            </w:r>
          </w:p>
        </w:tc>
        <w:tc>
          <w:tcPr>
            <w:tcW w:w="40" w:type="dxa"/>
            <w:vAlign w:val="bottom"/>
          </w:tcPr>
          <w:p>
            <w:pPr>
              <w:spacing w:after="0"/>
              <w:rPr>
                <w:sz w:val="19"/>
                <w:szCs w:val="19"/>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Financial Statements</w:t>
            </w:r>
          </w:p>
        </w:tc>
        <w:tc>
          <w:tcPr>
            <w:tcW w:w="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3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Condensed consolidated balance sheets (Unaudited) - June 30, 2017 and December 31, 2016</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00" w:type="dxa"/>
            <w:vAlign w:val="bottom"/>
            <w:gridSpan w:val="4"/>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Condensed consolidated statements of operations (Unaudited) - three months and six months ended June 30, 2017 and</w:t>
            </w:r>
          </w:p>
        </w:tc>
        <w:tc>
          <w:tcPr>
            <w:tcW w:w="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5</w:t>
            </w:r>
          </w:p>
        </w:tc>
        <w:tc>
          <w:tcPr>
            <w:tcW w:w="40" w:type="dxa"/>
            <w:vAlign w:val="bottom"/>
          </w:tcPr>
          <w:p>
            <w:pPr>
              <w:spacing w:after="0"/>
              <w:rPr>
                <w:sz w:val="17"/>
                <w:szCs w:val="17"/>
                <w:color w:val="auto"/>
              </w:rPr>
            </w:pPr>
          </w:p>
        </w:tc>
      </w:tr>
      <w:tr>
        <w:trPr>
          <w:trHeight w:val="230"/>
        </w:trPr>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2016</w:t>
            </w:r>
          </w:p>
        </w:tc>
        <w:tc>
          <w:tcPr>
            <w:tcW w:w="380" w:type="dxa"/>
            <w:vAlign w:val="bottom"/>
            <w:shd w:val="clear" w:color="auto" w:fill="CCEEFF"/>
          </w:tcPr>
          <w:p>
            <w:pPr>
              <w:spacing w:after="0"/>
              <w:rPr>
                <w:sz w:val="20"/>
                <w:szCs w:val="20"/>
                <w:color w:val="auto"/>
              </w:rPr>
            </w:pPr>
          </w:p>
        </w:tc>
        <w:tc>
          <w:tcPr>
            <w:tcW w:w="66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3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 of stockholders' equity (Unaudited) - six months ended June 30, 2017</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3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cash flows (Unaudited) - six months ended June 30, 2017 and 2016</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3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Notes to condensed consolidated financial statements (Unaudited)</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c>
          <w:tcPr>
            <w:tcW w:w="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Quantitative and Qualitative Disclosures About Market Risk</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Controls and Procedures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4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300" w:type="dxa"/>
            <w:vAlign w:val="bottom"/>
            <w:gridSpan w:val="4"/>
            <w:shd w:val="clear" w:color="auto" w:fill="CCEEFF"/>
          </w:tcPr>
          <w:p>
            <w:pPr>
              <w:ind w:left="400"/>
              <w:spacing w:after="0" w:line="176" w:lineRule="exact"/>
              <w:rPr>
                <w:sz w:val="20"/>
                <w:szCs w:val="20"/>
                <w:color w:val="auto"/>
              </w:rPr>
            </w:pPr>
            <w:r>
              <w:rPr>
                <w:rFonts w:ascii="Arial" w:cs="Arial" w:eastAsia="Arial" w:hAnsi="Arial"/>
                <w:sz w:val="18"/>
                <w:szCs w:val="18"/>
                <w:color w:val="auto"/>
              </w:rPr>
              <w:t>OTHER INFORMATION</w:t>
            </w:r>
          </w:p>
        </w:tc>
        <w:tc>
          <w:tcPr>
            <w:tcW w:w="4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Risk Factors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Unregistered Sales of Equity Securities and Use of Proceeds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Other Information</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Exhibits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4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SIGNATURES</w:t>
            </w:r>
          </w:p>
        </w:tc>
        <w:tc>
          <w:tcPr>
            <w:tcW w:w="4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40" w:type="dxa"/>
            <w:vAlign w:val="bottom"/>
          </w:tcPr>
          <w:p>
            <w:pPr>
              <w:spacing w:after="0"/>
              <w:rPr>
                <w:sz w:val="17"/>
                <w:szCs w:val="17"/>
                <w:color w:val="auto"/>
              </w:rPr>
            </w:pPr>
          </w:p>
        </w:tc>
      </w:tr>
      <w:tr>
        <w:trPr>
          <w:trHeight w:val="675"/>
        </w:trPr>
        <w:tc>
          <w:tcPr>
            <w:tcW w:w="1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9300" w:type="dxa"/>
            <w:vAlign w:val="bottom"/>
            <w:tcBorders>
              <w:top w:val="single" w:sz="8" w:color="CCEEFF"/>
            </w:tcBorders>
            <w:gridSpan w:val="4"/>
          </w:tcPr>
          <w:p>
            <w:pPr>
              <w:jc w:val="right"/>
              <w:ind w:right="5200"/>
              <w:spacing w:after="0"/>
              <w:rPr>
                <w:sz w:val="20"/>
                <w:szCs w:val="20"/>
                <w:color w:val="auto"/>
              </w:rPr>
            </w:pPr>
            <w:r>
              <w:rPr>
                <w:rFonts w:ascii="Arial" w:cs="Arial" w:eastAsia="Arial" w:hAnsi="Arial"/>
                <w:sz w:val="18"/>
                <w:szCs w:val="18"/>
                <w:color w:val="auto"/>
              </w:rPr>
              <w:t>2</w:t>
            </w:r>
          </w:p>
        </w:tc>
        <w:tc>
          <w:tcPr>
            <w:tcW w:w="46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6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spacing w:after="0"/>
        <w:tabs>
          <w:tab w:leader="none" w:pos="840" w:val="left"/>
        </w:tabs>
        <w:rPr>
          <w:sz w:val="20"/>
          <w:szCs w:val="20"/>
          <w:color w:val="auto"/>
        </w:rPr>
      </w:pPr>
      <w:r>
        <w:rPr>
          <w:rFonts w:ascii="Arial" w:cs="Arial" w:eastAsia="Arial" w:hAnsi="Arial"/>
          <w:sz w:val="18"/>
          <w:szCs w:val="18"/>
          <w:b w:val="1"/>
          <w:bCs w:val="1"/>
          <w:u w:val="single" w:color="auto"/>
          <w:color w:val="auto"/>
        </w:rPr>
        <w:t>PART I.</w:t>
        <w:tab/>
        <w:t>FINANCIAL INFORMATION</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GRAY TELEVISION,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42,360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receivable trade, less allowance for doubtful accounts of $3,615 and $3,163, respectively</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169,846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FCC spectrum auction proceeds receivable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Current portion of program broadcast rights, net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taxes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Broadcast licenses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1,522,532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1,340,305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78,364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Investments in broadcasting and technology companies</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16,599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2,969,822</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2,783,331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condensed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GRAY TELEVISION,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Employee compensation and benefits</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23,246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network programming fees</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15,912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expenses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Federal and state income taxes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program broadcast obligations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99,235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119,407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1,832,197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1,756,747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Program broadcast obligations, less current portion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427,612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costs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2,397,767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2,290,470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5"/>
              </w:rPr>
              <w:t>Common stock, no par value; authorized 100,000,000 shares, issued 71,538,575 shares and 71,229,497</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shares, respectively</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659,647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658,135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Class A common stock, no par value; authorized 15,000,000 shares, issued 8,349,069 shares and 8,073,993</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respectively</w:t>
            </w: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(19,192)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net of income tax benefit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645,849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560,889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common stock, 5,535,076 shares and 5,135,406 shares, respectively</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w w:val="98"/>
              </w:rPr>
              <w:t>Treasury stock at cost, Class A common stock, 1,750,692 shares and 1,669,131 shares, respectively</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(24,232)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(23,340)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572,055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2,969,822</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2,783,331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condensed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GRAY TELEVISION,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 (less agency commissions)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226,681</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196,633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430,142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93"/>
              </w:rPr>
              <w:t>Operating expenses before depreciation, amortization and loss (gain) on disposal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of assets, net: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Broadcast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267,016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Corporate and administrative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8,524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16,118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11,617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4,242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12,224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disposals of assets, net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142,946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244,029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280,558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53,687</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Miscellaneous income,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(23,791)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(24,269)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(46,982)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early extinguishment of debt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118,454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136,288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70,561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17,662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81,066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26,652</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per share information: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Pr>
          <w:p>
            <w:pPr>
              <w:ind w:left="160"/>
              <w:spacing w:after="0" w:line="196" w:lineRule="exact"/>
              <w:rPr>
                <w:sz w:val="20"/>
                <w:szCs w:val="20"/>
                <w:color w:val="auto"/>
              </w:rPr>
            </w:pPr>
            <w:r>
              <w:rPr>
                <w:rFonts w:ascii="Arial" w:cs="Arial" w:eastAsia="Arial" w:hAnsi="Arial"/>
                <w:sz w:val="18"/>
                <w:szCs w:val="18"/>
                <w:color w:val="auto"/>
              </w:rPr>
              <w:t>Weighted-average shares outstanding</w:t>
            </w: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71,821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71,878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71,849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71,835</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Diluted per share information: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Pr>
          <w:p>
            <w:pPr>
              <w:ind w:left="160"/>
              <w:spacing w:after="0" w:line="196" w:lineRule="exact"/>
              <w:rPr>
                <w:sz w:val="20"/>
                <w:szCs w:val="20"/>
                <w:color w:val="auto"/>
              </w:rPr>
            </w:pPr>
            <w:r>
              <w:rPr>
                <w:rFonts w:ascii="Arial" w:cs="Arial" w:eastAsia="Arial" w:hAnsi="Arial"/>
                <w:sz w:val="18"/>
                <w:szCs w:val="18"/>
                <w:color w:val="auto"/>
              </w:rPr>
              <w:t>Weighted-average shares outstanding</w:t>
            </w: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72,501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72,748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72,510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72,665</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Dividends declared per common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condensed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8"/>
          <w:szCs w:val="18"/>
          <w:b w:val="1"/>
          <w:bCs w:val="1"/>
          <w:color w:val="auto"/>
        </w:rPr>
        <w:t>GRAY TELEVISION,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 OF STOCKHOLDERS' EQUITY (Unaudited)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 thousands, except for number of shares)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Class A</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Class A</w:t>
            </w:r>
          </w:p>
        </w:tc>
        <w:tc>
          <w:tcPr>
            <w:tcW w:w="17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Common</w:t>
            </w:r>
          </w:p>
        </w:tc>
        <w:tc>
          <w:tcPr>
            <w:tcW w:w="24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Common Stock</w:t>
            </w:r>
          </w:p>
        </w:tc>
        <w:tc>
          <w:tcPr>
            <w:tcW w:w="17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Common Stock</w:t>
            </w:r>
          </w:p>
        </w:tc>
        <w:tc>
          <w:tcPr>
            <w:tcW w:w="118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Accumulated</w:t>
            </w:r>
          </w:p>
        </w:tc>
        <w:tc>
          <w:tcPr>
            <w:tcW w:w="17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Treasury Stock</w:t>
            </w:r>
          </w:p>
        </w:tc>
        <w:tc>
          <w:tcPr>
            <w:tcW w:w="17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Treasury Stock</w:t>
            </w:r>
          </w:p>
        </w:tc>
        <w:tc>
          <w:tcPr>
            <w:tcW w:w="12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Comprehensive</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Amount</w:t>
            </w:r>
          </w:p>
        </w:tc>
        <w:tc>
          <w:tcPr>
            <w:tcW w:w="10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9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Loss</w:t>
            </w:r>
          </w:p>
        </w:tc>
        <w:tc>
          <w:tcPr>
            <w:tcW w:w="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8,073,993</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$ 21,764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71,229,497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$658,135</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(101,365)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(1,669,131)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$(23,340)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(5,135,406)</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$(44,688)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(17,645)</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$492,861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Adoption of ASU</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2016-09 excess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for</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81,066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401(k) plan</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1,135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2007 Long Term</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Incentive Plan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restricted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198,220</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307,943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(81,561)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(77,632)</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(874)</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tcPr>
          <w:p>
            <w:pPr>
              <w:ind w:left="160"/>
              <w:spacing w:after="0" w:line="201" w:lineRule="exact"/>
              <w:rPr>
                <w:sz w:val="20"/>
                <w:szCs w:val="20"/>
                <w:color w:val="auto"/>
              </w:rPr>
            </w:pPr>
            <w:r>
              <w:rPr>
                <w:rFonts w:ascii="Arial" w:cs="Arial" w:eastAsia="Arial" w:hAnsi="Arial"/>
                <w:sz w:val="18"/>
                <w:szCs w:val="18"/>
                <w:color w:val="auto"/>
                <w:w w:val="95"/>
              </w:rPr>
              <w:t>2017 Equity and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20"/>
              <w:spacing w:after="0"/>
              <w:rPr>
                <w:sz w:val="20"/>
                <w:szCs w:val="20"/>
                <w:color w:val="auto"/>
              </w:rPr>
            </w:pPr>
            <w:r>
              <w:rPr>
                <w:rFonts w:ascii="Arial" w:cs="Arial" w:eastAsia="Arial" w:hAnsi="Arial"/>
                <w:sz w:val="18"/>
                <w:szCs w:val="18"/>
                <w:color w:val="auto"/>
              </w:rPr>
              <w:t>Incentive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20"/>
              <w:spacing w:after="0"/>
              <w:rPr>
                <w:sz w:val="20"/>
                <w:szCs w:val="20"/>
                <w:color w:val="auto"/>
              </w:rPr>
            </w:pPr>
            <w:r>
              <w:rPr>
                <w:rFonts w:ascii="Arial" w:cs="Arial" w:eastAsia="Arial" w:hAnsi="Arial"/>
                <w:sz w:val="18"/>
                <w:szCs w:val="18"/>
                <w:color w:val="auto"/>
                <w:w w:val="93"/>
              </w:rPr>
              <w:t>Compensation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20"/>
              <w:spacing w:after="0"/>
              <w:rPr>
                <w:sz w:val="20"/>
                <w:szCs w:val="20"/>
                <w:color w:val="auto"/>
              </w:rPr>
            </w:pPr>
            <w:r>
              <w:rPr>
                <w:rFonts w:ascii="Arial" w:cs="Arial" w:eastAsia="Arial" w:hAnsi="Arial"/>
                <w:sz w:val="18"/>
                <w:szCs w:val="18"/>
                <w:color w:val="auto"/>
              </w:rPr>
              <w:t>Plan -</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320"/>
              <w:spacing w:after="0"/>
              <w:rPr>
                <w:sz w:val="20"/>
                <w:szCs w:val="20"/>
                <w:color w:val="auto"/>
              </w:rPr>
            </w:pPr>
            <w:r>
              <w:rPr>
                <w:rFonts w:ascii="Arial" w:cs="Arial" w:eastAsia="Arial" w:hAnsi="Arial"/>
                <w:sz w:val="18"/>
                <w:szCs w:val="18"/>
                <w:color w:val="auto"/>
              </w:rPr>
              <w:t>restricted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320"/>
              <w:spacing w:after="0"/>
              <w:rPr>
                <w:sz w:val="20"/>
                <w:szCs w:val="20"/>
                <w:color w:val="auto"/>
              </w:rPr>
            </w:pPr>
            <w:r>
              <w:rPr>
                <w:rFonts w:ascii="Arial" w:cs="Arial" w:eastAsia="Arial" w:hAnsi="Arial"/>
                <w:sz w:val="18"/>
                <w:szCs w:val="18"/>
                <w:color w:val="auto"/>
              </w:rPr>
              <w:t>stock</w:t>
            </w:r>
          </w:p>
        </w:tc>
        <w:tc>
          <w:tcPr>
            <w:tcW w:w="780" w:type="dxa"/>
            <w:vAlign w:val="bottom"/>
          </w:tcPr>
          <w:p>
            <w:pPr>
              <w:jc w:val="right"/>
              <w:spacing w:after="0"/>
              <w:rPr>
                <w:sz w:val="20"/>
                <w:szCs w:val="20"/>
                <w:color w:val="auto"/>
              </w:rPr>
            </w:pPr>
            <w:r>
              <w:rPr>
                <w:rFonts w:ascii="Arial" w:cs="Arial" w:eastAsia="Arial" w:hAnsi="Arial"/>
                <w:sz w:val="18"/>
                <w:szCs w:val="18"/>
                <w:color w:val="auto"/>
              </w:rPr>
              <w:t>76,856</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tcPr>
          <w:p>
            <w:pPr>
              <w:spacing w:after="0" w:line="201" w:lineRule="exact"/>
              <w:rPr>
                <w:sz w:val="20"/>
                <w:szCs w:val="20"/>
                <w:color w:val="auto"/>
              </w:rPr>
            </w:pPr>
            <w:r>
              <w:rPr>
                <w:rFonts w:ascii="Arial" w:cs="Arial" w:eastAsia="Arial" w:hAnsi="Arial"/>
                <w:sz w:val="18"/>
                <w:szCs w:val="18"/>
                <w:color w:val="auto"/>
              </w:rPr>
              <w:t>Repurchase of</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(322,038)</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1,275</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1,497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tcPr>
          <w:p>
            <w:pPr>
              <w:spacing w:after="0" w:line="201" w:lineRule="exact"/>
              <w:rPr>
                <w:sz w:val="20"/>
                <w:szCs w:val="20"/>
                <w:color w:val="auto"/>
              </w:rPr>
            </w:pPr>
            <w:r>
              <w:rPr>
                <w:rFonts w:ascii="Arial" w:cs="Arial" w:eastAsia="Arial" w:hAnsi="Arial"/>
                <w:sz w:val="18"/>
                <w:szCs w:val="18"/>
                <w:color w:val="auto"/>
              </w:rPr>
              <w:t>Balance at June</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4"/>
              </w:rPr>
              <w:t>8,349,069</w:t>
            </w:r>
          </w:p>
        </w:tc>
        <w:tc>
          <w:tcPr>
            <w:tcW w:w="120" w:type="dxa"/>
            <w:vAlign w:val="bottom"/>
          </w:tcPr>
          <w:p>
            <w:pPr>
              <w:spacing w:after="0"/>
              <w:rPr>
                <w:sz w:val="17"/>
                <w:szCs w:val="17"/>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5"/>
              </w:rPr>
              <w:t>$ 23,039</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3"/>
              </w:rPr>
              <w:t>71,538,575</w:t>
            </w: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659,647</w:t>
            </w:r>
          </w:p>
        </w:tc>
        <w:tc>
          <w:tcPr>
            <w:tcW w:w="22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(19,192)</w:t>
            </w:r>
          </w:p>
        </w:tc>
        <w:tc>
          <w:tcPr>
            <w:tcW w:w="174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w w:val="95"/>
              </w:rPr>
              <w:t xml:space="preserve">(1,750,692) </w:t>
            </w:r>
            <w:r>
              <w:rPr>
                <w:rFonts w:ascii="Arial" w:cs="Arial" w:eastAsia="Arial" w:hAnsi="Arial"/>
                <w:sz w:val="18"/>
                <w:szCs w:val="18"/>
                <w:u w:val="single" w:color="auto"/>
                <w:color w:val="auto"/>
                <w:w w:val="95"/>
              </w:rPr>
              <w:t>$</w:t>
            </w:r>
            <w:r>
              <w:rPr>
                <w:rFonts w:ascii="Arial" w:cs="Arial" w:eastAsia="Arial" w:hAnsi="Arial"/>
                <w:sz w:val="18"/>
                <w:szCs w:val="18"/>
                <w:color w:val="auto"/>
                <w:w w:val="95"/>
              </w:rPr>
              <w:t>(24,232)</w:t>
            </w:r>
          </w:p>
        </w:tc>
        <w:tc>
          <w:tcPr>
            <w:tcW w:w="1980" w:type="dxa"/>
            <w:vAlign w:val="bottom"/>
            <w:gridSpan w:val="6"/>
            <w:vMerge w:val="restart"/>
          </w:tcPr>
          <w:p>
            <w:pPr>
              <w:jc w:val="right"/>
              <w:ind w:right="50"/>
              <w:spacing w:after="0"/>
              <w:rPr>
                <w:sz w:val="20"/>
                <w:szCs w:val="20"/>
                <w:color w:val="auto"/>
              </w:rPr>
            </w:pPr>
            <w:r>
              <w:rPr>
                <w:rFonts w:ascii="Arial" w:cs="Arial" w:eastAsia="Arial" w:hAnsi="Arial"/>
                <w:sz w:val="18"/>
                <w:szCs w:val="18"/>
                <w:color w:val="auto"/>
                <w:w w:val="96"/>
              </w:rPr>
              <w:t xml:space="preserve">(5,535,076) </w:t>
            </w:r>
            <w:r>
              <w:rPr>
                <w:rFonts w:ascii="Arial" w:cs="Arial" w:eastAsia="Arial" w:hAnsi="Arial"/>
                <w:sz w:val="18"/>
                <w:szCs w:val="18"/>
                <w:u w:val="single" w:color="auto"/>
                <w:color w:val="auto"/>
                <w:w w:val="96"/>
              </w:rPr>
              <w:t>$</w:t>
            </w:r>
            <w:r>
              <w:rPr>
                <w:rFonts w:ascii="Arial" w:cs="Arial" w:eastAsia="Arial" w:hAnsi="Arial"/>
                <w:sz w:val="18"/>
                <w:szCs w:val="18"/>
                <w:color w:val="auto"/>
                <w:w w:val="96"/>
              </w:rPr>
              <w:t>(49,562) $</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(17,645)</w:t>
            </w: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572,055</w:t>
            </w:r>
          </w:p>
        </w:tc>
        <w:tc>
          <w:tcPr>
            <w:tcW w:w="0" w:type="dxa"/>
            <w:vAlign w:val="bottom"/>
          </w:tcPr>
          <w:p>
            <w:pPr>
              <w:spacing w:after="0"/>
              <w:rPr>
                <w:sz w:val="1"/>
                <w:szCs w:val="1"/>
                <w:color w:val="auto"/>
              </w:rPr>
            </w:pPr>
          </w:p>
        </w:tc>
      </w:tr>
      <w:tr>
        <w:trPr>
          <w:trHeight w:val="190"/>
        </w:trPr>
        <w:tc>
          <w:tcPr>
            <w:tcW w:w="1440" w:type="dxa"/>
            <w:vAlign w:val="bottom"/>
            <w:gridSpan w:val="2"/>
          </w:tcPr>
          <w:p>
            <w:pPr>
              <w:ind w:left="180"/>
              <w:spacing w:after="0" w:line="190" w:lineRule="exact"/>
              <w:rPr>
                <w:sz w:val="20"/>
                <w:szCs w:val="20"/>
                <w:color w:val="auto"/>
              </w:rPr>
            </w:pPr>
            <w:r>
              <w:rPr>
                <w:rFonts w:ascii="Arial" w:cs="Arial" w:eastAsia="Arial" w:hAnsi="Arial"/>
                <w:sz w:val="18"/>
                <w:szCs w:val="18"/>
                <w:color w:val="auto"/>
              </w:rPr>
              <w:t>30, 2017</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740" w:type="dxa"/>
            <w:vAlign w:val="bottom"/>
            <w:gridSpan w:val="4"/>
            <w:vMerge w:val="continue"/>
          </w:tcPr>
          <w:p>
            <w:pPr>
              <w:spacing w:after="0"/>
              <w:rPr>
                <w:sz w:val="16"/>
                <w:szCs w:val="16"/>
                <w:color w:val="auto"/>
              </w:rPr>
            </w:pPr>
          </w:p>
        </w:tc>
        <w:tc>
          <w:tcPr>
            <w:tcW w:w="1980" w:type="dxa"/>
            <w:vAlign w:val="bottom"/>
            <w:gridSpan w:val="6"/>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condensed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520"/>
          </w:cols>
          <w:pgMar w:left="240" w:top="634" w:right="1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GRAY TELEVISION,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81,066</w:t>
            </w:r>
          </w:p>
        </w:tc>
        <w:tc>
          <w:tcPr>
            <w:tcW w:w="140" w:type="dxa"/>
            <w:vAlign w:val="bottom"/>
          </w:tcPr>
          <w:p>
            <w:pPr>
              <w:spacing w:after="0"/>
              <w:rPr>
                <w:sz w:val="18"/>
                <w:szCs w:val="18"/>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Amortization of deferred loan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amortization of original issue discount and premium related to long-term debt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Amortization of restricted stock and stock option awards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from early extinguishment of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Amortization of program broadcast rights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program broadcast obligations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Common stock contributed to 401(k) plan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Gain on disposals of assets,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(76,799)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 trade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Prepaid taxes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(2,920)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Employee compensation, benefits and pension cost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(3,438)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interest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Acquisitions of television businesses and licenses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(386,438)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(427,448)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television station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(10,415)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asset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Acquisition prepayments and other</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(16,490)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(413,217)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borrowings on long-term debt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641,438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borrowings on long-term debt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(559,433)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Payments for the repurchase of common stock</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and other loan costs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(1,767)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increase in cash</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(282,829)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79,027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325,189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97,318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42,360</w:t>
            </w:r>
          </w:p>
        </w:tc>
        <w:tc>
          <w:tcPr>
            <w:tcW w:w="140" w:type="dxa"/>
            <w:vAlign w:val="bottom"/>
          </w:tcPr>
          <w:p>
            <w:pPr>
              <w:spacing w:after="0"/>
              <w:rPr>
                <w:sz w:val="18"/>
                <w:szCs w:val="18"/>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176,345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condensed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GRAY TELEVISION,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0" w:hanging="372"/>
        <w:spacing w:after="0"/>
        <w:tabs>
          <w:tab w:leader="none" w:pos="3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389"/>
        <w:spacing w:after="0" w:line="287" w:lineRule="auto"/>
        <w:rPr>
          <w:sz w:val="20"/>
          <w:szCs w:val="20"/>
          <w:color w:val="auto"/>
        </w:rPr>
      </w:pPr>
      <w:r>
        <w:rPr>
          <w:rFonts w:ascii="Arial" w:cs="Arial" w:eastAsia="Arial" w:hAnsi="Arial"/>
          <w:sz w:val="16"/>
          <w:szCs w:val="16"/>
          <w:color w:val="auto"/>
        </w:rPr>
        <w:t>The accompanying condensed consolidated balance sheet of Gray Television, Inc. (and its consolidated subsidiaries, except as the context otherwise provides,“Gray,” the “Company,” “we,” “us,” and “our”) as of December 31, 2016, which was derived from the Company’s audited financial statements as of December 31, 2016, and our accompanying unaudited condensed consolidated financial statements as of June 30, 2017 and for the periods ended June 30, 2017 and 2016, have been prepared in accordance with accounting principles generally accepted in the United States of America (“U.S. GAAP”) for interim financial information and with the instructions to Form 10-Q and Article 10 of Regulation S-X. Accordingly, certain information and note disclosures normally included in annual financial statements prepared in accordance with U.S. GAAP have been condensed or omitted pursuant to those rules and regulations, although we believe that the disclosures made are adequate to make the information not misleading. In our opinion, all adjustments (consisting only of normal recurring adjustments) considered necessary for a fair presentation have been included. Our operations consist of one reportable segment. For further information, refer to the consolidated financial statements and footnotes thereto included in our Annual Report on Form 10-K for the year ended December 31, 2016 (the “2016 Form 10-K”). Our financial condition as of, and operating results for the six-month period ended, June 30, 2017 are not necessarily indicative of the financial condition or results that may be expected for any future interim period or for the year ending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We are a television broadcast company headquartered in Atlanta, Georgia, that owns and/or operates over 100 television stations and leading digital assets in markets throughout the United States. As of June 30, 2017, we owned and/or operated television stations in 57 television markets broadcasting over 200 programming streams, including 104 channels affiliated with the CBS Network (“CBS”), the NBC Network (“NBC”), the ABC Network (“ABC”) and the FOX Network (“FOX”). As of June 30, 2017, our station group reached approximately 10.6% of total United States television households.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 and Seasonality</w:t>
      </w:r>
    </w:p>
    <w:p>
      <w:pPr>
        <w:spacing w:after="0" w:line="225"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Broadcast advertising revenues are generally highest in the second and fourth quarters each year. This seasonality results partly from increases in consumer advertising in the spring and retail advertising in the period leading up to and including the holiday season. Broadcast advertising revenues are also typically higher in even-numbered years due to increased spending by political candidates, political parties and special interest groups in advance of elections. This political spending typically is heaviest during the fourth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The preparation of financial statements in conformity with U.S. GAAP requires our management to make estimates and assumptions that affect the amounts reported in the unaudited condensed consolidated financial statements and the notes to the unaudited condensed consolidated financial statements. Our actual results could differ materially from these estimates. The most significant estimates we make relate to our allowance for doubtful accounts in receivables, valuation of goodwill and intangible assets, amortization of program broadcast rights and intangible assets, pension costs, income taxes, employee medical insurance claims, useful lives of property and equipment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Entity (“VIE”)</w:t>
      </w:r>
    </w:p>
    <w:p>
      <w:pPr>
        <w:spacing w:after="0" w:line="225"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We consolidate a VIE when we are determined to be the primary beneficiary. In accordance with U.S. GAAP, in determining whether we are the primary beneficiary of a VIE for financial reporting purposes, we consider whether we have the power to direct the activities of the VIE that most significantly impact the economic performance of the VIE and whether we have the obligation to absorb losses or the right to receive returns that would be significant to the VIE.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8" w:name="page9"/>
    <w:bookmarkEnd w:id="8"/>
    <w:p>
      <w:pPr>
        <w:ind w:right="20" w:firstLine="405"/>
        <w:spacing w:after="0" w:line="290" w:lineRule="auto"/>
        <w:rPr>
          <w:sz w:val="20"/>
          <w:szCs w:val="20"/>
          <w:color w:val="auto"/>
        </w:rPr>
      </w:pPr>
      <w:r>
        <w:rPr>
          <w:rFonts w:ascii="Arial" w:cs="Arial" w:eastAsia="Arial" w:hAnsi="Arial"/>
          <w:sz w:val="16"/>
          <w:szCs w:val="16"/>
          <w:color w:val="auto"/>
        </w:rPr>
        <w:t>On January 17, 2017, we acquired two television stations that were divested by Nexstar Broadcasting, Inc. upon its merger with Media General, Inc. (“Media General”): WBAY-TV (ABC), in the Green Bay, Wisconsin television market, and KWQC-TV (NBC), in the Davenport, Iowa, Rock Island, Illinois, and Moline, Illinois or “Quad Cities” television market, for an adjusted purchase price of $269.9 million (the “Media General Acquisition”) using cash on hand. The Media General Acquisition was completed, in part, through a transaction with Gray Midwest EAT, LLC (“GME”), pursuant to which we loaned GME $106.0 million that GME in turn used to acquire the broadcast licenses of the stations. This loan agreement was subsequently amended whereby the principal was increased from $106.0 million to $149.8 million. On May 30, 2017, we exercised an option to acquire the licenses held by GME, assuming $59.0 million of GME’s debt and pledging the $90.8 million of proceeds receivable from the FCC’s recently completed reverse auction for broadcast spectrum (the “FCC Spectrum Auction”). That pledge was satisfied on August 7, 2017, upon receipt of the auction proceeds from the FCC.</w:t>
      </w:r>
    </w:p>
    <w:p>
      <w:pPr>
        <w:spacing w:after="0" w:line="16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believe we were the primary beneficiary of GME at June 30, 2017, because, subject to the ultimate control of the licensees, we had the power to direct the activities that significantly impact the economic performance of GME through the services we provide, and our obligation to absorb losses and earn returns that would be considered significant to GME. As a result, we included the assets, liabilities and results of operations of GME in our consolidated financial statements beginning January 17, 2017 and continuing through August 7, 2017, the date that we were no longer deemed to be the primary beneficiary of GME.</w:t>
      </w:r>
    </w:p>
    <w:p>
      <w:pPr>
        <w:spacing w:after="0" w:line="188" w:lineRule="exact"/>
        <w:rPr>
          <w:sz w:val="20"/>
          <w:szCs w:val="20"/>
          <w:color w:val="auto"/>
        </w:rPr>
      </w:pPr>
    </w:p>
    <w:p>
      <w:pPr>
        <w:ind w:right="100" w:firstLine="389"/>
        <w:spacing w:after="0" w:line="277" w:lineRule="auto"/>
        <w:rPr>
          <w:sz w:val="20"/>
          <w:szCs w:val="20"/>
          <w:color w:val="auto"/>
        </w:rPr>
      </w:pPr>
      <w:r>
        <w:rPr>
          <w:rFonts w:ascii="Arial" w:cs="Arial" w:eastAsia="Arial" w:hAnsi="Arial"/>
          <w:sz w:val="18"/>
          <w:szCs w:val="18"/>
          <w:color w:val="auto"/>
        </w:rPr>
        <w:t>The carrying amounts and classification of the assets and liabilities of GME included in our condensed consolidated balance sheets as of June 30, 2017 are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Auction proceeds receivable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90,824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Note payable</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 receivable of $90.8 million, representing the amount owed us by GME and a note payable of $90.8 million representing our loan to GME, as of June 30, 2017, were eliminated in our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compute basic earnings per share by dividing net income attributable to common stockholders by the weighted-average number of common shares outstanding during the relevant period. The weighted-average number of common shares outstanding does not include restricted shares. These shares, although classified as issued and outstanding, are considered contingently returnable until the restrictions lapse and, in accordance with U.S. GAAP, are not included in the basic earnings per share calculation until the shares vest. Diluted earnings per share is computed by including all potentially dilutive common shares, including restricted shares and shares underlying stock options, in the denominator of the diluted weighted-average shares outstanding calculation, unless their inclusion would be antidilutive.</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9" w:name="page10"/>
    <w:bookmarkEnd w:id="9"/>
    <w:p>
      <w:pPr>
        <w:ind w:right="260" w:firstLine="401"/>
        <w:spacing w:after="0" w:line="277" w:lineRule="auto"/>
        <w:rPr>
          <w:sz w:val="20"/>
          <w:szCs w:val="20"/>
          <w:color w:val="auto"/>
        </w:rPr>
      </w:pPr>
      <w:r>
        <w:rPr>
          <w:rFonts w:ascii="Arial" w:cs="Arial" w:eastAsia="Arial" w:hAnsi="Arial"/>
          <w:sz w:val="18"/>
          <w:szCs w:val="18"/>
          <w:color w:val="auto"/>
        </w:rPr>
        <w:t>The following table reconciles basic weighted-average shares outstanding to diluted weighted-average shares outstanding for the three and six-month periods ended June 30, 2017 and 2016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outstanding-basic</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71,821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71,878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71,849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Common stock equivalents for stock options and restricted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680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shares outstanding-diluted</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72,501</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72,748</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accumulated other comprehensive loss balances as of June 30, 2017 and December 31, 2016 consist of adjustments to our pension liability and the related income tax benefit. Our comprehensive income for the three and six-month periods ended June 30, 2017 and 2016 consisted entirely of net income. Therefore, a consolidated statement of comprehensive income is not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Property and equipment are carried at cost. Depreciation is computed principally by the straight-line method. Maintenance, repairs and minor replacements are charged to operations as incurred; major replacements and betterments are capitalized. The cost of any assets sold or retired and the related accumulated depreciation are removed from the accounts at the time of disposition, and any resulting profit or loss is reflected in income or expense for the period. In the six months ended June 30, 2017, our total property and equipment balance, before accumulated depreciation, increased approximately $36.5 million primarily as a result of property and equipment acquired in connection with recent acquisitions of television businesses. The remaining changes in the balances in the six months ended June 30, 2017 were primarily due to routine property and equipment purchases and retirements.</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lists the components of property and equipment by major category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December 31,</w:t>
            </w: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Useful Lives</w:t>
            </w:r>
          </w:p>
        </w:tc>
        <w:tc>
          <w:tcPr>
            <w:tcW w:w="10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00" w:type="dxa"/>
            <w:vAlign w:val="bottom"/>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Land</w:t>
            </w:r>
          </w:p>
        </w:tc>
        <w:tc>
          <w:tcPr>
            <w:tcW w:w="23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50,024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44,611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Buildings and improvements</w:t>
            </w: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139,078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2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471,798</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0"/>
        </w:trPr>
        <w:tc>
          <w:tcPr>
            <w:tcW w:w="45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655,487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(353,320)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(329,394)</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2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346,495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326,093</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225"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auto"/>
        </w:rPr>
        <w:t>Our allowance for doubtful accounts is equal to a portion of our receivable balances that are 120 days old or older. We may provide allowances for certain receivable balances that are less than 120 days old when warranted by specific facts and circumstances. We generally write-off accounts receivable balances when the customer files for bankruptcy or when all commonly used methods of collection have been exhausted.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389"/>
        <w:spacing w:after="0" w:line="285"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Revenue from Contracts with Customers (Topic 606). ASU 2014-09 provides new guidance on revenue recognition for revenue from contracts with customers and will replace most existing revenue recognition guidance when it becomes effective. This guidance requires an entity to recognize the amount of revenue to which it expects to be entitled for the transfer of promised goods or services to customers. The standard is intended to improve comparability of revenue recognition practices across entities and provide more useful information through improved financial statement disclosures. In August 2015, the FASB issued ASU 2015-14, Revenue from Contracts with Customers (Topic 606): </w:t>
      </w:r>
      <w:r>
        <w:rPr>
          <w:rFonts w:ascii="Arial" w:cs="Arial" w:eastAsia="Arial" w:hAnsi="Arial"/>
          <w:sz w:val="16"/>
          <w:szCs w:val="16"/>
          <w:i w:val="1"/>
          <w:iCs w:val="1"/>
          <w:color w:val="auto"/>
        </w:rPr>
        <w:t>Deferral of the Effective Date</w:t>
      </w:r>
      <w:r>
        <w:rPr>
          <w:rFonts w:ascii="Arial" w:cs="Arial" w:eastAsia="Arial" w:hAnsi="Arial"/>
          <w:sz w:val="16"/>
          <w:szCs w:val="16"/>
          <w:color w:val="auto"/>
        </w:rPr>
        <w:t xml:space="preserve">. ASU 2015-14 deferred the effective date of ASU 2014-09 by one year to interim and annual reporting periods beginning after December 15, 2017, and permitted early adoption of the standard, but not before the original effective date of December 15, 2016. The standard permits the use of either a retrospective to each reporting period presented method, or a retrospective with the cumulative effect method to adopt the standard. In April 2016, the FASB issued ASU 2016-10, Revenue from Contracts with Customers (Topic 606):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This ASU amends the guidance of ASU 2014-09 to clarify the identification of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to provide additional licensing implementation guidance. In May 2016, the FASB issued ASU 2016-12, Revenue from Contracts with Customers (Topic 606): </w:t>
      </w:r>
      <w:r>
        <w:rPr>
          <w:rFonts w:ascii="Arial" w:cs="Arial" w:eastAsia="Arial" w:hAnsi="Arial"/>
          <w:sz w:val="16"/>
          <w:szCs w:val="16"/>
          <w:i w:val="1"/>
          <w:iCs w:val="1"/>
          <w:color w:val="auto"/>
        </w:rPr>
        <w:t>Narrow Scope Improvements and Practical Expedients</w:t>
      </w:r>
      <w:r>
        <w:rPr>
          <w:rFonts w:ascii="Arial" w:cs="Arial" w:eastAsia="Arial" w:hAnsi="Arial"/>
          <w:sz w:val="16"/>
          <w:szCs w:val="16"/>
          <w:color w:val="auto"/>
        </w:rPr>
        <w:t xml:space="preserve">. This ASU was issued to provide guidance in assessing collectibility, presentation of sales taxes, noncash consideration, and completed contracts and contract modifications at transition, in order to reduce the potential for diversity in practice at initial application, and to reduce the cost and complexity of applying the standard. In December 2016, the FASB issued ASU 2016-20, Revenue from Contracts with Customers (Topic 606): </w:t>
      </w:r>
      <w:r>
        <w:rPr>
          <w:rFonts w:ascii="Arial" w:cs="Arial" w:eastAsia="Arial" w:hAnsi="Arial"/>
          <w:sz w:val="16"/>
          <w:szCs w:val="16"/>
          <w:i w:val="1"/>
          <w:iCs w:val="1"/>
          <w:color w:val="auto"/>
        </w:rPr>
        <w:t>Technical Corrections and Improvements</w:t>
      </w:r>
      <w:r>
        <w:rPr>
          <w:rFonts w:ascii="Arial" w:cs="Arial" w:eastAsia="Arial" w:hAnsi="Arial"/>
          <w:sz w:val="16"/>
          <w:szCs w:val="16"/>
          <w:color w:val="auto"/>
        </w:rPr>
        <w:t>. This ASU was issued to clarify the standard and to correct unintended application of guidance. We have completed our internal evaluation of the standard and determined that the adoption of this standard will not have a material effect on our balance sheets and statements of operations. We have determined that we will utilize the modified retrospective method to implement the standard. We are evaluating our footnote disclosures and expect that this standard’s most significant impact will be expanded disclosures related to deferred revenue from customer pre-payments. We will continue to develop these disclosures and the related tasks of gathering data to be disclosed, assessing our internal controls and availing ourselves of broadcasting industry related guidance.</w:t>
      </w:r>
    </w:p>
    <w:p>
      <w:pPr>
        <w:spacing w:after="0" w:line="168" w:lineRule="exact"/>
        <w:rPr>
          <w:sz w:val="20"/>
          <w:szCs w:val="20"/>
          <w:color w:val="auto"/>
        </w:rPr>
      </w:pPr>
    </w:p>
    <w:p>
      <w:pPr>
        <w:ind w:right="120" w:firstLine="389"/>
        <w:spacing w:after="0" w:line="255" w:lineRule="auto"/>
        <w:rPr>
          <w:sz w:val="20"/>
          <w:szCs w:val="20"/>
          <w:color w:val="auto"/>
        </w:rPr>
      </w:pPr>
      <w:r>
        <w:rPr>
          <w:rFonts w:ascii="Arial" w:cs="Arial" w:eastAsia="Arial" w:hAnsi="Arial"/>
          <w:sz w:val="18"/>
          <w:szCs w:val="18"/>
          <w:color w:val="auto"/>
        </w:rPr>
        <w:t xml:space="preserve">In January 2016, the FASB issued ASU No. 2016-01, Financial Instruments - Overall (Subtopic 825-10) - </w:t>
      </w:r>
      <w:r>
        <w:rPr>
          <w:rFonts w:ascii="Arial" w:cs="Arial" w:eastAsia="Arial" w:hAnsi="Arial"/>
          <w:sz w:val="18"/>
          <w:szCs w:val="18"/>
          <w:i w:val="1"/>
          <w:iCs w:val="1"/>
          <w:color w:val="auto"/>
        </w:rPr>
        <w:t>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ASU 2016-01 amends the guidance in U.S. GAAP regarding the classification and measurement of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new standard significantly revises an entity’s accounting related to the classification and measurement of investments in equity securities and the presentation of certain fair value changes for financial liabilities measured at fair value. The standard is effective for fiscal years beginning after December 15, 2017, including interim periods within those fiscal years. We do not expect that the adoption of this standard will have a material impact on our financial statements.</w:t>
      </w:r>
    </w:p>
    <w:p>
      <w:pPr>
        <w:spacing w:after="0" w:line="193" w:lineRule="exact"/>
        <w:rPr>
          <w:sz w:val="20"/>
          <w:szCs w:val="20"/>
          <w:color w:val="auto"/>
        </w:rPr>
      </w:pPr>
    </w:p>
    <w:p>
      <w:pPr>
        <w:ind w:firstLine="389"/>
        <w:spacing w:after="0" w:line="271" w:lineRule="auto"/>
        <w:rPr>
          <w:sz w:val="20"/>
          <w:szCs w:val="20"/>
          <w:color w:val="auto"/>
        </w:rPr>
      </w:pPr>
      <w:r>
        <w:rPr>
          <w:rFonts w:ascii="Arial" w:cs="Arial" w:eastAsia="Arial" w:hAnsi="Arial"/>
          <w:sz w:val="17"/>
          <w:szCs w:val="17"/>
          <w:color w:val="auto"/>
        </w:rPr>
        <w:t xml:space="preserve">In February 2016, the FASB issued ASU 2016-02, Leases (Topic 842). ASU 2016-02 will supersede Topic 840, </w:t>
      </w:r>
      <w:r>
        <w:rPr>
          <w:rFonts w:ascii="Arial" w:cs="Arial" w:eastAsia="Arial" w:hAnsi="Arial"/>
          <w:sz w:val="17"/>
          <w:szCs w:val="17"/>
          <w:i w:val="1"/>
          <w:iCs w:val="1"/>
          <w:color w:val="auto"/>
        </w:rPr>
        <w:t>Leases</w:t>
      </w:r>
      <w:r>
        <w:rPr>
          <w:rFonts w:ascii="Arial" w:cs="Arial" w:eastAsia="Arial" w:hAnsi="Arial"/>
          <w:sz w:val="17"/>
          <w:szCs w:val="17"/>
          <w:color w:val="auto"/>
        </w:rPr>
        <w:t>, and thus will supersede nearly all existing lease guidance by requiring the reclassification of lease assets and lease liabilities on the balance sheet and requiring disclosure of key information about leasing arrangements. The standard will be effective for fiscal years beginning after December 15, 2018. We have preliminarily determined that the adoption of this standard will not have a material effect on our statements of operations. However, this standard is expected to have a material effect on our balance sheets. Specifically, we expect that, once adopted, we will record a right of use asset and lease obligation liability. As of December 31, 2016, the values of those assets and related liabilities were each approximately $13.2 million. We are also evaluating our footnote disclosure requirements. We will continue to review our contractual obligations related to this standard, to develop our disclosures, assessing our internal controls and availing ourselves of broadcasting industry related guidance.</w:t>
      </w:r>
    </w:p>
    <w:p>
      <w:pPr>
        <w:spacing w:after="0" w:line="179" w:lineRule="exact"/>
        <w:rPr>
          <w:sz w:val="20"/>
          <w:szCs w:val="20"/>
          <w:color w:val="auto"/>
        </w:rPr>
      </w:pPr>
    </w:p>
    <w:p>
      <w:pPr>
        <w:ind w:right="20" w:firstLine="389"/>
        <w:spacing w:after="0" w:line="257" w:lineRule="auto"/>
        <w:rPr>
          <w:sz w:val="20"/>
          <w:szCs w:val="20"/>
          <w:color w:val="auto"/>
        </w:rPr>
      </w:pPr>
      <w:r>
        <w:rPr>
          <w:rFonts w:ascii="Arial" w:cs="Arial" w:eastAsia="Arial" w:hAnsi="Arial"/>
          <w:sz w:val="18"/>
          <w:szCs w:val="18"/>
          <w:color w:val="auto"/>
        </w:rPr>
        <w:t xml:space="preserve">In August 2016, the FASB issued ASU 2016-15, Statement of Cash Flows (Topic 230) –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ASU 2016-15 amends the guidance of U.S. GAAP with the intent of addressing eight specific cash flow issues with the objective of reducing the existing diversity in practice. One or more of these eight issues are applicable to our financial statements. The standard is effective for fiscal years beginning after December 15, 2017, including interim periods within those fiscal years. We do not expect that the adoption of this standard will have a material impact on our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 w:name="page12"/>
    <w:bookmarkEnd w:id="11"/>
    <w:p>
      <w:pPr>
        <w:ind w:right="20" w:firstLine="389"/>
        <w:spacing w:after="0" w:line="257" w:lineRule="auto"/>
        <w:rPr>
          <w:sz w:val="20"/>
          <w:szCs w:val="20"/>
          <w:color w:val="auto"/>
        </w:rPr>
      </w:pPr>
      <w:r>
        <w:rPr>
          <w:rFonts w:ascii="Arial" w:cs="Arial" w:eastAsia="Arial" w:hAnsi="Arial"/>
          <w:sz w:val="18"/>
          <w:szCs w:val="18"/>
          <w:color w:val="auto"/>
        </w:rPr>
        <w:t xml:space="preserve">In January 2017, the FASB issued ASU 2017-01, Business Combinations (Topic 805) –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ASU 2017-01 amends the guidance of U.S. GAAP with the intent of clarifying the definition of a business with the objective of adding guidance to assist entities with evaluating whether transactions should be accounted for as acquisitions (or disposals) of assets or businesses. The standard is effective for fiscal years beginning after December 15, 2017, including interim periods within those fiscal years. We do not expect that the adoption of this standard will have a material impact on our financial statements.</w:t>
      </w:r>
    </w:p>
    <w:p>
      <w:pPr>
        <w:spacing w:after="0" w:line="188" w:lineRule="exact"/>
        <w:rPr>
          <w:sz w:val="20"/>
          <w:szCs w:val="20"/>
          <w:color w:val="auto"/>
        </w:rPr>
      </w:pPr>
    </w:p>
    <w:p>
      <w:pPr>
        <w:ind w:right="160" w:firstLine="389"/>
        <w:spacing w:after="0" w:line="255" w:lineRule="auto"/>
        <w:rPr>
          <w:sz w:val="20"/>
          <w:szCs w:val="20"/>
          <w:color w:val="auto"/>
        </w:rPr>
      </w:pPr>
      <w:r>
        <w:rPr>
          <w:rFonts w:ascii="Arial" w:cs="Arial" w:eastAsia="Arial" w:hAnsi="Arial"/>
          <w:sz w:val="18"/>
          <w:szCs w:val="18"/>
          <w:color w:val="auto"/>
        </w:rPr>
        <w:t xml:space="preserve">In January 2017, the FASB issued ASU 2017-04, Intangibles – Goodwill and Other (Topic 350) –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ASU 2017-04 amends the guidance of U.S. GAAP with the intent of simplifying how an entity is required to test goodwill for impairment by eliminating Step 2 from the goodwill impairment test. Step 2 measures a goodwill impairment loss by comparing the implied fair value of a reporting unit’s goodwill with the carrying amount of that goodwill. The standard is effective for fiscal years beginning after December 15, 2019, including interim periods within those fiscal years. The standard allows for early adoption, but we have not yet made that determination. We do not expect that the adoption of this standard will have a material impact on our financial statements.</w:t>
      </w:r>
    </w:p>
    <w:p>
      <w:pPr>
        <w:spacing w:after="0" w:line="193" w:lineRule="exact"/>
        <w:rPr>
          <w:sz w:val="20"/>
          <w:szCs w:val="20"/>
          <w:color w:val="auto"/>
        </w:rPr>
      </w:pPr>
    </w:p>
    <w:p>
      <w:pPr>
        <w:ind w:right="60" w:firstLine="389"/>
        <w:spacing w:after="0" w:line="273" w:lineRule="auto"/>
        <w:rPr>
          <w:sz w:val="20"/>
          <w:szCs w:val="20"/>
          <w:color w:val="auto"/>
        </w:rPr>
      </w:pPr>
      <w:r>
        <w:rPr>
          <w:rFonts w:ascii="Arial" w:cs="Arial" w:eastAsia="Arial" w:hAnsi="Arial"/>
          <w:sz w:val="17"/>
          <w:szCs w:val="17"/>
          <w:color w:val="auto"/>
        </w:rPr>
        <w:t xml:space="preserve">In March 2017, the FASB issued ASU 2017-07, Compensation – Retirement Benefits (Topic 715) - </w:t>
      </w:r>
      <w:r>
        <w:rPr>
          <w:rFonts w:ascii="Arial" w:cs="Arial" w:eastAsia="Arial" w:hAnsi="Arial"/>
          <w:sz w:val="17"/>
          <w:szCs w:val="17"/>
          <w:i w:val="1"/>
          <w:iCs w:val="1"/>
          <w:color w:val="auto"/>
        </w:rPr>
        <w:t>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Cost and Net Periodic Postretirement Benefit Cost</w:t>
      </w:r>
      <w:r>
        <w:rPr>
          <w:rFonts w:ascii="Arial" w:cs="Arial" w:eastAsia="Arial" w:hAnsi="Arial"/>
          <w:sz w:val="17"/>
          <w:szCs w:val="17"/>
          <w:color w:val="auto"/>
        </w:rPr>
        <w:t>. ASU 2017-07 amends the guidance of U.S. GAAP with the intent of improving the presentation of net</w:t>
      </w:r>
      <w:r>
        <w:rPr>
          <w:rFonts w:ascii="Arial" w:cs="Arial" w:eastAsia="Arial" w:hAnsi="Arial"/>
          <w:sz w:val="17"/>
          <w:szCs w:val="17"/>
          <w:i w:val="1"/>
          <w:iCs w:val="1"/>
          <w:color w:val="auto"/>
        </w:rPr>
        <w:t xml:space="preserve"> </w:t>
      </w:r>
      <w:r>
        <w:rPr>
          <w:rFonts w:ascii="Arial" w:cs="Arial" w:eastAsia="Arial" w:hAnsi="Arial"/>
          <w:sz w:val="17"/>
          <w:szCs w:val="17"/>
          <w:color w:val="auto"/>
        </w:rPr>
        <w:t>periodic pension cost and net periodic postretirement benefit cost by prescribing where the amount of net benefit cost should be presented in an employer’s income statement and requiring the disclosure by line item of the amount of net benefit cost that is included in the income statement or capitalized in assets. The standard is effective for fiscal years beginning after December 15, 2017, including interim periods within those fiscal years. We do not expect that the adoption of this standard will have a material impact on our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Accounting Standards and Reclassifications</w:t>
      </w:r>
    </w:p>
    <w:p>
      <w:pPr>
        <w:spacing w:after="0" w:line="225" w:lineRule="exact"/>
        <w:rPr>
          <w:sz w:val="20"/>
          <w:szCs w:val="20"/>
          <w:color w:val="auto"/>
        </w:rPr>
      </w:pPr>
    </w:p>
    <w:p>
      <w:pPr>
        <w:ind w:firstLine="389"/>
        <w:spacing w:after="0" w:line="264" w:lineRule="auto"/>
        <w:rPr>
          <w:sz w:val="20"/>
          <w:szCs w:val="20"/>
          <w:color w:val="auto"/>
        </w:rPr>
      </w:pPr>
      <w:r>
        <w:rPr>
          <w:rFonts w:ascii="Arial" w:cs="Arial" w:eastAsia="Arial" w:hAnsi="Arial"/>
          <w:sz w:val="18"/>
          <w:szCs w:val="18"/>
          <w:color w:val="auto"/>
        </w:rPr>
        <w:t xml:space="preserve">In November 2015, the FASB issued ASU No. 2015-17, Income Taxes (Topic 740) –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ASU 2015-17 requires a “noncurrent” presentation of all deferred income taxes. As required by our adoption of this standard, the affected amounts have been reclassified on our balance sheets for all periods presented.</w:t>
      </w:r>
    </w:p>
    <w:p>
      <w:pPr>
        <w:spacing w:after="0" w:line="181" w:lineRule="exact"/>
        <w:rPr>
          <w:sz w:val="20"/>
          <w:szCs w:val="20"/>
          <w:color w:val="auto"/>
        </w:rPr>
      </w:pPr>
    </w:p>
    <w:p>
      <w:pPr>
        <w:ind w:firstLine="389"/>
        <w:spacing w:after="0" w:line="291" w:lineRule="auto"/>
        <w:rPr>
          <w:sz w:val="20"/>
          <w:szCs w:val="20"/>
          <w:color w:val="auto"/>
        </w:rPr>
      </w:pPr>
      <w:r>
        <w:rPr>
          <w:rFonts w:ascii="Arial" w:cs="Arial" w:eastAsia="Arial" w:hAnsi="Arial"/>
          <w:sz w:val="16"/>
          <w:szCs w:val="16"/>
          <w:color w:val="auto"/>
        </w:rPr>
        <w:t xml:space="preserve">In March 2016, the FASB issued ASU 2016-09, Compensation - Stock Compensation (Topic 718) - </w:t>
      </w:r>
      <w:r>
        <w:rPr>
          <w:rFonts w:ascii="Arial" w:cs="Arial" w:eastAsia="Arial" w:hAnsi="Arial"/>
          <w:sz w:val="16"/>
          <w:szCs w:val="16"/>
          <w:i w:val="1"/>
          <w:iCs w:val="1"/>
          <w:color w:val="auto"/>
        </w:rPr>
        <w:t>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2016-09 amended the guidance in U.S. GAAP with the intent of simplifying several aspects of the accounting for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including the income tax consequences, classification of awards, and classification on the statement of cash flows. Our adoption of this standard included an adjustment to record the impact on our deferred asset related to the net federal and state income tax deductions for grants, and subsequent vesting, of restricted stock in excess of our book basis expense. Accordingly, we have recorded adjustments to increase our deferred tax asset and our accumulated deficit, as of January 1, 2017, by approximately $1.1 million. Beginning in 2017, we began recording similar net excess or deficit tax deductions as current tax benefit or expense and as reductions in the related income tax prepaid or payable, or deferred tax assets.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Certain amounts in the condensed consolidated statement of cash flows have been reclassified to conform to the current presentation.</w:t>
      </w:r>
    </w:p>
    <w:p>
      <w:pPr>
        <w:spacing w:after="0" w:line="221"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00" w:firstLine="389"/>
        <w:spacing w:after="0" w:line="308" w:lineRule="auto"/>
        <w:rPr>
          <w:sz w:val="20"/>
          <w:szCs w:val="20"/>
          <w:color w:val="auto"/>
        </w:rPr>
      </w:pPr>
      <w:r>
        <w:rPr>
          <w:rFonts w:ascii="Arial" w:cs="Arial" w:eastAsia="Arial" w:hAnsi="Arial"/>
          <w:sz w:val="17"/>
          <w:szCs w:val="17"/>
          <w:color w:val="auto"/>
        </w:rPr>
        <w:t>On January 13, 2017, we acquired KTVF-TV (NBC), KXDF-TV (CBS), and KFXF-TV (FOX) in the Fairbanks, Alaska television market (DMA 202), from Tanana Valley Television Company and Tanana Valley Holdings, LLC for $8.0 million (the “Fairbanks Acquisition”), using cash on hand.</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described above, on January 17, 2017, we completed the Media General Acquisition, for an adjusted purchase price of $269.9 million using cash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hand.</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 w:name="page13"/>
    <w:bookmarkEnd w:id="12"/>
    <w:p>
      <w:pPr>
        <w:ind w:right="120" w:firstLine="389"/>
        <w:spacing w:after="0" w:line="312" w:lineRule="auto"/>
        <w:rPr>
          <w:sz w:val="20"/>
          <w:szCs w:val="20"/>
          <w:color w:val="auto"/>
        </w:rPr>
      </w:pPr>
      <w:r>
        <w:rPr>
          <w:rFonts w:ascii="Arial" w:cs="Arial" w:eastAsia="Arial" w:hAnsi="Arial"/>
          <w:sz w:val="16"/>
          <w:szCs w:val="16"/>
          <w:color w:val="auto"/>
        </w:rPr>
        <w:t>On May 1, 2017, we acquired WDTV-TV (CBS) and WVFX-TV (FOX/CW) in the Clarksburg-Weston, West Virginia television market (DMA 169) from Withers Broadcasting Company of West Virginia (the “Clarksburg Acquisition”) for a total purchase price of $26.5 million. On June 1, 2016, we began operating the stations, subject to the control of the seller, under a local marketing agreement (“LMA”) that terminated upon completion of the acquisition.</w:t>
      </w:r>
    </w:p>
    <w:p>
      <w:pPr>
        <w:spacing w:after="0" w:line="147" w:lineRule="exact"/>
        <w:rPr>
          <w:sz w:val="20"/>
          <w:szCs w:val="20"/>
          <w:color w:val="auto"/>
        </w:rPr>
      </w:pPr>
    </w:p>
    <w:p>
      <w:pPr>
        <w:ind w:right="100" w:firstLine="389"/>
        <w:spacing w:after="0" w:line="259" w:lineRule="auto"/>
        <w:rPr>
          <w:sz w:val="20"/>
          <w:szCs w:val="20"/>
          <w:color w:val="auto"/>
        </w:rPr>
      </w:pPr>
      <w:r>
        <w:rPr>
          <w:rFonts w:ascii="Arial" w:cs="Arial" w:eastAsia="Arial" w:hAnsi="Arial"/>
          <w:sz w:val="18"/>
          <w:szCs w:val="18"/>
          <w:color w:val="auto"/>
        </w:rPr>
        <w:t>On May 1, 2017, we acquired WABI-TV (CBS/CW) in the Bangor, Maine television market (DMA 156) and WCJB-TV (ABC/CW) in the Gainesville, Florida television market (DMA 161) from Community Broadcasting Service and Diversified Broadcasting, Inc. (collectively, the “Diversified Acquisition”) for a total purchase price of $85.0 million. On April 1, 2017, we began operating these stations, subject to the control of the seller, under an LMA that terminated upon completion of the acquisition.</w:t>
      </w:r>
    </w:p>
    <w:p>
      <w:pPr>
        <w:spacing w:after="0" w:line="187" w:lineRule="exact"/>
        <w:rPr>
          <w:sz w:val="20"/>
          <w:szCs w:val="20"/>
          <w:color w:val="auto"/>
        </w:rPr>
      </w:pPr>
    </w:p>
    <w:p>
      <w:pPr>
        <w:ind w:right="20" w:firstLine="406"/>
        <w:spacing w:after="0" w:line="257" w:lineRule="auto"/>
        <w:rPr>
          <w:sz w:val="20"/>
          <w:szCs w:val="20"/>
          <w:color w:val="auto"/>
        </w:rPr>
      </w:pPr>
      <w:r>
        <w:rPr>
          <w:rFonts w:ascii="Arial" w:cs="Arial" w:eastAsia="Arial" w:hAnsi="Arial"/>
          <w:sz w:val="18"/>
          <w:szCs w:val="18"/>
          <w:color w:val="auto"/>
        </w:rPr>
        <w:t>We refer to the seven stations acquired (excluding the stations acquired in the Clarksburg Acquisition) during the first six-months of 2017 and the stations we commenced operating under an LMA during that period as the “2017 Acquisitions.” We refer to the 13 stations acquired in 2016, and that we retained in those acquisitions, including the stations in the Clarksburg Acquisition that we commenced operating under an LMA on June 1, 2016, as the “2016 Acquisitions.” The preliminary fair value estimates of the assets acquired, liabilities assumed and resulting goodwill of the 2017 Acquisitions and the Clarksburg Acquisition are summarized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8"/>
                <w:szCs w:val="18"/>
                <w:b w:val="1"/>
                <w:bCs w:val="1"/>
                <w:color w:val="auto"/>
              </w:rPr>
              <w:t>Acquisition</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7"/>
              </w:rPr>
              <w:t>Media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Fairbanks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General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Clarksburg</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Diversified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20,471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12,329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85,997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Broadcast licenses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149,846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17,003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26,219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195,296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8,020</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269,965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85,000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389,485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389"/>
        <w:spacing w:after="0" w:line="264" w:lineRule="auto"/>
        <w:rPr>
          <w:sz w:val="20"/>
          <w:szCs w:val="20"/>
          <w:color w:val="auto"/>
        </w:rPr>
      </w:pPr>
      <w:r>
        <w:rPr>
          <w:rFonts w:ascii="Arial" w:cs="Arial" w:eastAsia="Arial" w:hAnsi="Arial"/>
          <w:sz w:val="18"/>
          <w:szCs w:val="18"/>
          <w:color w:val="auto"/>
        </w:rPr>
        <w:t>Amounts in the table above are based upon management’s preliminary estimates of the fair values using valuation techniques including income, cost and market approaches. The fair value estimates are based on, but not limited to, expected future revenue and cash flows, expected future growth rates, and estimated discount rates.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are being depreciated over their estimated useful lives ranging from three years to 40 years.</w:t>
      </w:r>
    </w:p>
    <w:p>
      <w:pPr>
        <w:spacing w:after="0" w:line="225"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Other intangible assets represent primarily the estimated fair values of retransmission agreements of $21.5 million, advertising client relationships of $4.1 million and favorable income leases of $2.5 million. These intangible assets are being amortized over their estimated useful lives of 5.2 years for retransmission agreements, 4.2 years for advertising client relationships and 12.6 years for favorable income leases.</w:t>
      </w:r>
    </w:p>
    <w:p>
      <w:pPr>
        <w:spacing w:after="0" w:line="16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Goodwill is calculated as the excess of the consideration transferred over the fair value of the identifiable net assets acquired and liabilities assumed, and represents the future economic benefits expected to arise from other intangible assets acquired that do not qualify for separate recognition, including assembled workforce, as well as future synergies that we expect to generate from each acquisition. We have preliminarily recorded $125.2 million of goodwill related to 2017 Acquisitions. The use of different estimates or assumptions could result in materially different allocations. The goodwill recognized related to these acquisitions is deductible for income tax purposes.</w:t>
      </w:r>
    </w:p>
    <w:p>
      <w:pPr>
        <w:spacing w:after="0" w:line="188"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Our consolidated results of operations include the results of each acquisition from the date of the respective transaction. Revenue and operating income attributable to the 2017 Acquisitions and included in our consolidated statements of operations for the six-months ended June 30, 2017 were $31.8 million and $15.7 million, respectively. In connection with the 2017 Acquisitions we incurred a total of $1.0 million of transaction related costs during the six-months ended June 30, 2017, primarily related to legal, consulting and other professional fees. Revenue and operating income attributable to the 2016 Acquisitions and included in our consolidated statements of operations for the six-months ended June 30, 2016 were $50.7 million and $19.0 million,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left="380" w:hanging="372"/>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jc w:val="both"/>
        <w:ind w:right="40" w:firstLine="356"/>
        <w:spacing w:after="0" w:line="264" w:lineRule="auto"/>
        <w:rPr>
          <w:sz w:val="20"/>
          <w:szCs w:val="20"/>
          <w:color w:val="auto"/>
        </w:rPr>
      </w:pPr>
      <w:r>
        <w:rPr>
          <w:rFonts w:ascii="Arial" w:cs="Arial" w:eastAsia="Arial" w:hAnsi="Arial"/>
          <w:sz w:val="18"/>
          <w:szCs w:val="18"/>
          <w:color w:val="auto"/>
        </w:rPr>
        <w:t>As of June 30, 2017 and December 31, 2016, long-term debt primarily consisted of obligations under our 2017 Senior Credit Facility (as defined below), our 2014 Senior Credit Facility (as defined below), our 5.125% Senior Notes due 2024 (the “2024 Notes”) and our 5.875% Senior Notes due 2026 (the “2026 Notes”),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w w:val="89"/>
              </w:rPr>
              <w:t>2014</w:t>
            </w:r>
          </w:p>
        </w:tc>
        <w:tc>
          <w:tcPr>
            <w:tcW w:w="5820" w:type="dxa"/>
            <w:vAlign w:val="bottom"/>
          </w:tcPr>
          <w:p>
            <w:pPr>
              <w:ind w:left="20"/>
              <w:spacing w:after="0"/>
              <w:rPr>
                <w:sz w:val="20"/>
                <w:szCs w:val="20"/>
                <w:color w:val="auto"/>
              </w:rPr>
            </w:pPr>
            <w:r>
              <w:rPr>
                <w:rFonts w:ascii="Arial" w:cs="Arial" w:eastAsia="Arial" w:hAnsi="Arial"/>
                <w:sz w:val="18"/>
                <w:szCs w:val="18"/>
                <w:color w:val="auto"/>
              </w:rPr>
              <w:t>Senior Credit Facility</w:t>
            </w:r>
          </w:p>
        </w:tc>
        <w:tc>
          <w:tcPr>
            <w:tcW w:w="20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556,438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2017</w:t>
            </w: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w w:val="89"/>
              </w:rPr>
              <w:t>2024</w:t>
            </w:r>
          </w:p>
        </w:tc>
        <w:tc>
          <w:tcPr>
            <w:tcW w:w="5820" w:type="dxa"/>
            <w:vAlign w:val="bottom"/>
          </w:tcPr>
          <w:p>
            <w:pPr>
              <w:ind w:left="20"/>
              <w:spacing w:after="0"/>
              <w:rPr>
                <w:sz w:val="20"/>
                <w:szCs w:val="20"/>
                <w:color w:val="auto"/>
              </w:rPr>
            </w:pPr>
            <w:r>
              <w:rPr>
                <w:rFonts w:ascii="Arial" w:cs="Arial" w:eastAsia="Arial" w:hAnsi="Arial"/>
                <w:sz w:val="18"/>
                <w:szCs w:val="18"/>
                <w:color w:val="auto"/>
              </w:rPr>
              <w:t>Notes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9"/>
              </w:rPr>
              <w:t>2026</w:t>
            </w:r>
          </w:p>
        </w:tc>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7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tcPr>
          <w:p>
            <w:pPr>
              <w:ind w:left="320"/>
              <w:spacing w:after="0"/>
              <w:rPr>
                <w:sz w:val="20"/>
                <w:szCs w:val="20"/>
                <w:color w:val="auto"/>
              </w:rPr>
            </w:pPr>
            <w:r>
              <w:rPr>
                <w:rFonts w:ascii="Arial" w:cs="Arial" w:eastAsia="Arial" w:hAnsi="Arial"/>
                <w:sz w:val="18"/>
                <w:szCs w:val="18"/>
                <w:color w:val="auto"/>
              </w:rPr>
              <w:t>Total outstanding principal</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1,863,443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1,781,438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Unamortized deferred loan costs - 2014 Senior Credit Facility</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160"/>
              <w:spacing w:after="0"/>
              <w:rPr>
                <w:sz w:val="20"/>
                <w:szCs w:val="20"/>
                <w:color w:val="auto"/>
              </w:rPr>
            </w:pPr>
            <w:r>
              <w:rPr>
                <w:rFonts w:ascii="Arial" w:cs="Arial" w:eastAsia="Arial" w:hAnsi="Arial"/>
                <w:sz w:val="18"/>
                <w:szCs w:val="18"/>
                <w:color w:val="auto"/>
              </w:rPr>
              <w:t>Unamortized deferred loan costs - 2017 Senior Credit Facility</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(13,047)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Unamortized deferred loan costs - 2024 Notes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160"/>
              <w:spacing w:after="0"/>
              <w:rPr>
                <w:sz w:val="20"/>
                <w:szCs w:val="20"/>
                <w:color w:val="auto"/>
              </w:rPr>
            </w:pPr>
            <w:r>
              <w:rPr>
                <w:rFonts w:ascii="Arial" w:cs="Arial" w:eastAsia="Arial" w:hAnsi="Arial"/>
                <w:sz w:val="18"/>
                <w:szCs w:val="18"/>
                <w:color w:val="auto"/>
              </w:rPr>
              <w:t>Unamortized deferred loan costs - 2026 Notes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(10,031)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Unamortized premium - 2026 Notes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160"/>
              <w:spacing w:after="0"/>
              <w:rPr>
                <w:sz w:val="20"/>
                <w:szCs w:val="20"/>
                <w:color w:val="auto"/>
              </w:rPr>
            </w:pPr>
            <w:r>
              <w:rPr>
                <w:rFonts w:ascii="Arial" w:cs="Arial" w:eastAsia="Arial" w:hAnsi="Arial"/>
                <w:sz w:val="18"/>
                <w:szCs w:val="18"/>
                <w:color w:val="auto"/>
              </w:rPr>
              <w:t>Less current portion</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(6,417)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carrying value</w:t>
            </w:r>
          </w:p>
        </w:tc>
        <w:tc>
          <w:tcPr>
            <w:tcW w:w="1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1,832,197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1,756,747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gridSpan w:val="2"/>
          </w:tcPr>
          <w:p>
            <w:pPr>
              <w:spacing w:after="0"/>
              <w:rPr>
                <w:sz w:val="17"/>
                <w:szCs w:val="17"/>
                <w:color w:val="auto"/>
              </w:rPr>
            </w:pPr>
          </w:p>
        </w:tc>
        <w:tc>
          <w:tcPr>
            <w:tcW w:w="200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4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 availability under the Revolving Credit Facility</w:t>
            </w:r>
          </w:p>
        </w:tc>
        <w:tc>
          <w:tcPr>
            <w:tcW w:w="2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20" w:firstLine="356"/>
        <w:spacing w:after="0" w:line="272" w:lineRule="auto"/>
        <w:rPr>
          <w:sz w:val="20"/>
          <w:szCs w:val="20"/>
          <w:color w:val="auto"/>
        </w:rPr>
      </w:pPr>
      <w:r>
        <w:rPr>
          <w:rFonts w:ascii="Arial" w:cs="Arial" w:eastAsia="Arial" w:hAnsi="Arial"/>
          <w:sz w:val="17"/>
          <w:szCs w:val="17"/>
          <w:color w:val="auto"/>
        </w:rPr>
        <w:t>On February 7, 2017, we entered into a Third Amended and Restated Credit Agreement (the “2017 Senior Credit Facility”), consisting of a $556.4 million term loan facility (the “2017 Initial Term Loan”) and a $100.0 million revolving credit facility (the “2017 Revolving Credit Facility”). Amounts outstanding under the 2017 Initial Term Loan were used to repay amounts outstanding under our prior credit agreement (the “2014 Senior Credit Facility”). On April 3, 2017, we borrowed $85.0 million under an incremental term loan (the “2017 Incremental Term Loan” and, together with the 2017 Initial Term Loan, the “2017 Term Loan”) under the 2017 Senior Credit Facility to fund the Diversified Acquisition. As of June 30, 2017, the 2017 Senior Credit Facility provided total commitments of $738.4 million, consisting of the $638.4 million 2017 Term Loan and the $100.0 million 2017 Revolving Credit Facility. Our quarterly principal payments under the 2017 Term Loan are $1.6 million.</w:t>
      </w:r>
    </w:p>
    <w:p>
      <w:pPr>
        <w:spacing w:after="0" w:line="178" w:lineRule="exact"/>
        <w:rPr>
          <w:sz w:val="20"/>
          <w:szCs w:val="20"/>
          <w:color w:val="auto"/>
        </w:rPr>
      </w:pPr>
    </w:p>
    <w:p>
      <w:pPr>
        <w:ind w:right="80" w:firstLine="389"/>
        <w:spacing w:after="0" w:line="286" w:lineRule="auto"/>
        <w:rPr>
          <w:sz w:val="20"/>
          <w:szCs w:val="20"/>
          <w:color w:val="auto"/>
        </w:rPr>
      </w:pPr>
      <w:r>
        <w:rPr>
          <w:rFonts w:ascii="Arial" w:cs="Arial" w:eastAsia="Arial" w:hAnsi="Arial"/>
          <w:sz w:val="17"/>
          <w:szCs w:val="17"/>
          <w:color w:val="auto"/>
        </w:rPr>
        <w:t>Prior to the entry into the 2017 Senior Credit Facility, the 2014 Senior Credit Facility consisted of a revolving loan and a term loan. Excluding accrued interest, the amount outstanding under our 2014 Senior Credit Facility as of December 31, 2016 consisted solely of a term loan balance of $556.4 million. As of December 31, 2016, the interest rate on the balances outstanding under the 2014 Senior Credit Facility were 3.9%.</w:t>
      </w:r>
    </w:p>
    <w:p>
      <w:pPr>
        <w:spacing w:after="0" w:line="166" w:lineRule="exact"/>
        <w:rPr>
          <w:sz w:val="20"/>
          <w:szCs w:val="20"/>
          <w:color w:val="auto"/>
        </w:rPr>
      </w:pPr>
    </w:p>
    <w:p>
      <w:pPr>
        <w:ind w:right="120" w:firstLine="356"/>
        <w:spacing w:after="0" w:line="273" w:lineRule="auto"/>
        <w:rPr>
          <w:sz w:val="20"/>
          <w:szCs w:val="20"/>
          <w:color w:val="auto"/>
        </w:rPr>
      </w:pPr>
      <w:r>
        <w:rPr>
          <w:rFonts w:ascii="Arial" w:cs="Arial" w:eastAsia="Arial" w:hAnsi="Arial"/>
          <w:sz w:val="17"/>
          <w:szCs w:val="17"/>
          <w:color w:val="auto"/>
        </w:rPr>
        <w:t>The 2017 Term Loan borrowings bear interest, at our option, at either the London Interbank Offered Rate (“LIBOR”) or the Base Rate (as defined below), in each case, plus an applicable margin. Until our results of operations for the quarter ending September 30, 2017 have been certified, the applicable margin is 2.50% for all LIBOR borrowings and 1.50% for all Base Rate borrowings (the “Initial Applicable Margin”). Thereafter, (i) if the leverage ratio as set forth in the 2017 Senior Credit Facility (the “Leverage Ratio”) is less than or equal to 5.25 to 1.00, the applicable margin will be 2.25% for all LIBOR borrowings and 1.25% for all Base Rate borrowings and (ii) if the Leverage Ratio is greater than 5.25 to 1.00, the Initial Applicable Margin will apply. As of June 30, 2017, the interest rate on balance outstanding under the 2017 Term Loan was 3.6%.</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ind w:right="60" w:firstLine="356"/>
        <w:spacing w:after="0" w:line="257" w:lineRule="auto"/>
        <w:rPr>
          <w:sz w:val="20"/>
          <w:szCs w:val="20"/>
          <w:color w:val="auto"/>
        </w:rPr>
      </w:pPr>
      <w:r>
        <w:rPr>
          <w:rFonts w:ascii="Arial" w:cs="Arial" w:eastAsia="Arial" w:hAnsi="Arial"/>
          <w:sz w:val="18"/>
          <w:szCs w:val="18"/>
          <w:color w:val="auto"/>
        </w:rPr>
        <w:t>Borrowings under the 2017 Revolving Credit Facility bear interest, at our option, based on LIBOR plus 1.50% to 2.00% or the Base Rate plus 0.50% to 1.00%, in each case based on a first lien leverage ratio test as set forth in the 2017 Senior Credit Facility (the “First Lien Leverage Ratio”). Base Rate is defined as the greatest of (i) the administrative agent’s prime rate, (ii) the overnight federal funds rate plus 0.50% and (iii) LIBOR plus 1.00%. We are required to pay a commitment fee on the average daily unused portion of the 2017 Revolving Credit Facility, which rate may range from 0.375% to 0.50% on an annual basis, based on the First Lien Leverage Ratio.</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2017 Revolving Credit Facility matures on February 7, 2022, and the 2017 Term Loan matures on February 7, 2024.</w:t>
      </w:r>
    </w:p>
    <w:p>
      <w:pPr>
        <w:spacing w:after="0" w:line="225" w:lineRule="exact"/>
        <w:rPr>
          <w:sz w:val="20"/>
          <w:szCs w:val="20"/>
          <w:color w:val="auto"/>
        </w:rPr>
      </w:pPr>
    </w:p>
    <w:p>
      <w:pPr>
        <w:ind w:right="220" w:firstLine="392"/>
        <w:spacing w:after="0" w:line="264" w:lineRule="auto"/>
        <w:rPr>
          <w:sz w:val="20"/>
          <w:szCs w:val="20"/>
          <w:color w:val="auto"/>
        </w:rPr>
      </w:pPr>
      <w:r>
        <w:rPr>
          <w:rFonts w:ascii="Arial" w:cs="Arial" w:eastAsia="Arial" w:hAnsi="Arial"/>
          <w:sz w:val="18"/>
          <w:szCs w:val="18"/>
          <w:color w:val="auto"/>
        </w:rPr>
        <w:t>As a result of entering into the 2017 Senior Credit Facility, we recorded a loss on extinguishment of debt of approximately $2.9 million in the six-months ended June 30, 2017, and we incurred approximately $5.0 million in deferred financing costs that will be amortized over the life of the 2017 Senior Credit Facility.</w:t>
      </w:r>
    </w:p>
    <w:p>
      <w:pPr>
        <w:spacing w:after="0" w:line="181" w:lineRule="exact"/>
        <w:rPr>
          <w:sz w:val="20"/>
          <w:szCs w:val="20"/>
          <w:color w:val="auto"/>
        </w:rPr>
      </w:pPr>
    </w:p>
    <w:p>
      <w:pPr>
        <w:ind w:right="440" w:firstLine="389"/>
        <w:spacing w:after="0" w:line="308" w:lineRule="auto"/>
        <w:rPr>
          <w:sz w:val="20"/>
          <w:szCs w:val="20"/>
          <w:color w:val="auto"/>
        </w:rPr>
      </w:pPr>
      <w:r>
        <w:rPr>
          <w:rFonts w:ascii="Arial" w:cs="Arial" w:eastAsia="Arial" w:hAnsi="Arial"/>
          <w:sz w:val="17"/>
          <w:szCs w:val="17"/>
          <w:color w:val="auto"/>
        </w:rPr>
        <w:t>As of June 30, 2017 and December 31, 2016, we had $525.0 million of 2024 Notes outstanding. The interest rate and yield on the 2024 Notes were 5.125%. The 2024 Notes mature on October 15, 2024. Interest is payable semiannually, on April 15 and October 15 of each year.</w:t>
      </w:r>
    </w:p>
    <w:p>
      <w:pPr>
        <w:spacing w:after="0" w:line="147" w:lineRule="exact"/>
        <w:rPr>
          <w:sz w:val="20"/>
          <w:szCs w:val="20"/>
          <w:color w:val="auto"/>
        </w:rPr>
      </w:pPr>
    </w:p>
    <w:p>
      <w:pPr>
        <w:ind w:firstLine="389"/>
        <w:spacing w:after="0" w:line="272" w:lineRule="auto"/>
        <w:rPr>
          <w:sz w:val="20"/>
          <w:szCs w:val="20"/>
          <w:color w:val="auto"/>
        </w:rPr>
      </w:pPr>
      <w:r>
        <w:rPr>
          <w:rFonts w:ascii="Arial" w:cs="Arial" w:eastAsia="Arial" w:hAnsi="Arial"/>
          <w:sz w:val="17"/>
          <w:szCs w:val="17"/>
          <w:color w:val="auto"/>
        </w:rPr>
        <w:t>On June 14, 2016, we completed the private placement of $500.0 million of our 2026 Notes (the “Original 2026 Notes”), at par. On September 14, 2016, we completed the private placement of an additional $200.0 million of our 2026 Notes (the “Additional 2026 Notes”). The Additional 2026 Notes were issued at a price of 103.0%, resulting in aggregate gross proceeds of approximately $206.0 million, plus accrued and unpaid interest from and including June 14, 2016. As of June 30, 2017 and December 31, 2016, we had $700.0 million of 2026 Notes outstanding. The interest rate and yield on the Original 2026 Notes were each 5.875%. The interest rate and yield on the Additional 2026 Notes were 5.875% and 5.398%, respectively. The Additional 2026 Notes are an additional issuance of, rank equally with and form a single series with the Original 2026 Notes. The 2026 Notes mature on July 15, 2026. Interest is payable semiannually, on January 15 and July 15 of each year.</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Collateral, Covenants and Restrictions</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obligations under the 2017 Senior Credit Facility are secured by substantially all of our and our consolidated subsidiaries' assets, excluding real estate. In addition, substantially all of our subsidiaries are joint and several guarantors of, and our ownership interests in those subsidiaries are pledged to collateralize, our obligations under the 2017 Senior Credit Facility. Gray Television, Inc. is a holding company with no material independent assets or operations. For all applicable periods, the 2024 Notes and 2026 Notes have been fully and unconditionally guaranteed, on a joint and several, senior unsecured basis, by substantially all of Gray Television, Inc.'s subsidiaries. Any subsidiaries of Gray Television, Inc. that do not gurantee the 2024 Notes and 2026 Notes are minor. As of June 30, 2017, there were no significant restrictions on the ability of Gray Television, Inc.'s subsidiaries to distribute cash to Gray or to the guarantor subsidaries.</w:t>
      </w:r>
    </w:p>
    <w:p>
      <w:pPr>
        <w:spacing w:after="0" w:line="18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2017 Senior Credit Facility contains affirmative and restrictive covenants with which we must comply, including: (a) limitations on additional indebtedness; (b) limitations on liens; (c) limitations on the sale of assets; (d) limitations on guarantees; (e) limitations on investments and acquisitions; (f) limitations on the payment of dividends and share repurchases; (g) limitations on mergers; and (h) maintenance of a first lien leverage ratio not to exceed certain maximum limits while any amount is outstanding under the revolving credit facility, as well as other customary covenants for credit facilities of this type. The 2026 Notes and 2024 Notes include covenants with which we must comply which are typical for borrowing transactions of their nature. As of June 30, 2017 and December 31, 2016, we were in compliance with all required covenants under all our debt obligations.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Maturities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Aggregate minimum principal maturities on long-term debt as of June 30, 2017 were as follows (in thousands):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Minimum Principal Maturities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2017 Senior</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Credit Facility</w:t>
            </w:r>
          </w:p>
        </w:tc>
        <w:tc>
          <w:tcPr>
            <w:tcW w:w="20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2024 Notes</w:t>
            </w:r>
          </w:p>
        </w:tc>
        <w:tc>
          <w:tcPr>
            <w:tcW w:w="18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2026 Notes</w:t>
            </w:r>
          </w:p>
        </w:tc>
        <w:tc>
          <w:tcPr>
            <w:tcW w:w="28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6,417</w:t>
            </w:r>
          </w:p>
        </w:tc>
      </w:tr>
      <w:tr>
        <w:trPr>
          <w:trHeight w:val="216"/>
        </w:trPr>
        <w:tc>
          <w:tcPr>
            <w:tcW w:w="4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6,417</w:t>
            </w:r>
          </w:p>
        </w:tc>
      </w:tr>
      <w:tr>
        <w:trPr>
          <w:trHeight w:val="216"/>
        </w:trPr>
        <w:tc>
          <w:tcPr>
            <w:tcW w:w="43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6,417</w:t>
            </w:r>
          </w:p>
        </w:tc>
      </w:tr>
      <w:tr>
        <w:trPr>
          <w:trHeight w:val="216"/>
        </w:trPr>
        <w:tc>
          <w:tcPr>
            <w:tcW w:w="4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6,417</w:t>
            </w:r>
          </w:p>
        </w:tc>
      </w:tr>
      <w:tr>
        <w:trPr>
          <w:trHeight w:val="216"/>
        </w:trPr>
        <w:tc>
          <w:tcPr>
            <w:tcW w:w="4320" w:type="dxa"/>
            <w:vAlign w:val="bottom"/>
          </w:tcPr>
          <w:p>
            <w:pPr>
              <w:jc w:val="center"/>
              <w:spacing w:after="0"/>
              <w:rPr>
                <w:sz w:val="20"/>
                <w:szCs w:val="20"/>
                <w:color w:val="auto"/>
              </w:rPr>
            </w:pPr>
            <w:r>
              <w:rPr>
                <w:rFonts w:ascii="Arial" w:cs="Arial" w:eastAsia="Arial" w:hAnsi="Arial"/>
                <w:sz w:val="18"/>
                <w:szCs w:val="18"/>
                <w:color w:val="auto"/>
                <w:w w:val="91"/>
              </w:rPr>
              <w:t>Thereafter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609,567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525,000</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700,000</w:t>
            </w: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1,834,567</w:t>
            </w:r>
          </w:p>
        </w:tc>
      </w:tr>
      <w:tr>
        <w:trPr>
          <w:trHeight w:val="250"/>
        </w:trPr>
        <w:tc>
          <w:tcPr>
            <w:tcW w:w="4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638,443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1,863,443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27"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For purposes of determining a fair value measurement, we utilize market data or assumptions that market participants would use in pricing an asset or liability, including assumptions about risk and the risks inherent in the inputs to the valuation technique. These inputs can be readily observable, market corroborated or generally unobservable. We utilize valuation techniques that maximize the use of observable inputs and minimize the use of unobservable inputs. These inputs are prioritized into a hierarchy that gives the highest priority to unadjusted quoted prices in active markets for identical assets or liabilities (“Level 1”) and the lowest priority to unobservable inputs that require assumptions to measure fair value (“Level 3”). Level 2 inputs are those that are other than quoted prices on national exchanges included within Level 1 that are observable for the asset or liability either directly or indirectly (“Level 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firstLine="401"/>
        <w:spacing w:after="0" w:line="279" w:lineRule="auto"/>
        <w:rPr>
          <w:sz w:val="20"/>
          <w:szCs w:val="20"/>
          <w:color w:val="auto"/>
        </w:rPr>
      </w:pPr>
      <w:r>
        <w:rPr>
          <w:rFonts w:ascii="Arial" w:cs="Arial" w:eastAsia="Arial" w:hAnsi="Arial"/>
          <w:sz w:val="17"/>
          <w:szCs w:val="17"/>
          <w:color w:val="auto"/>
        </w:rPr>
        <w:t>The estimated fair value of other financial instruments is determined using market information and appropriate valuation methodologies. Interpreting market data to develop fair value estimates involves considerable judgment. The use of different market assumptions or methodologies could have a material effect on the estimated fair value amounts. Accordingly, the estimates presented are not necessarily indicative of the amounts that we could realize in a current market exchange, or the value that ultimately will be realized upon maturity or disposition.</w:t>
      </w:r>
    </w:p>
    <w:p>
      <w:pPr>
        <w:spacing w:after="0" w:line="171" w:lineRule="exact"/>
        <w:rPr>
          <w:sz w:val="20"/>
          <w:szCs w:val="20"/>
          <w:color w:val="auto"/>
        </w:rPr>
      </w:pPr>
    </w:p>
    <w:p>
      <w:pPr>
        <w:ind w:right="260" w:firstLine="401"/>
        <w:spacing w:after="0" w:line="264" w:lineRule="auto"/>
        <w:rPr>
          <w:sz w:val="20"/>
          <w:szCs w:val="20"/>
          <w:color w:val="auto"/>
        </w:rPr>
      </w:pPr>
      <w:r>
        <w:rPr>
          <w:rFonts w:ascii="Arial" w:cs="Arial" w:eastAsia="Arial" w:hAnsi="Arial"/>
          <w:sz w:val="18"/>
          <w:szCs w:val="18"/>
          <w:color w:val="auto"/>
        </w:rPr>
        <w:t>The carrying amounts of the following instruments approximate fair value due to their short term to maturity: (i) accounts receivable, (ii) prepaid and other current assets, (iii) accounts payable, (iv) accrued employee compensation and benefits, (v) accrued interest, (vi) other accrued expenses, (vii) acquisition-related liabilities and (viii) deferred revenue.</w:t>
      </w:r>
    </w:p>
    <w:p>
      <w:pPr>
        <w:spacing w:after="0" w:line="181" w:lineRule="exact"/>
        <w:rPr>
          <w:sz w:val="20"/>
          <w:szCs w:val="20"/>
          <w:color w:val="auto"/>
        </w:rPr>
      </w:pPr>
    </w:p>
    <w:p>
      <w:pPr>
        <w:ind w:right="120" w:firstLine="401"/>
        <w:spacing w:after="0" w:line="286" w:lineRule="auto"/>
        <w:rPr>
          <w:sz w:val="20"/>
          <w:szCs w:val="20"/>
          <w:color w:val="auto"/>
        </w:rPr>
      </w:pPr>
      <w:r>
        <w:rPr>
          <w:rFonts w:ascii="Arial" w:cs="Arial" w:eastAsia="Arial" w:hAnsi="Arial"/>
          <w:sz w:val="17"/>
          <w:szCs w:val="17"/>
          <w:color w:val="auto"/>
        </w:rPr>
        <w:t>The net carrying amount of our long-term debt was $1.8 billion and $1.8 billion, respectively, and the fair value was $1.9 billion and $1.8 billion, respectively, as of June 30, 2017 and December 31, 2016. Fair value of our long-term debt is based on observable estimates provided by third-party financial professionals as of June 30, 2017 and December 31, 2016 and as such is classified within Level 2 of the fair value hierarchy.</w:t>
      </w:r>
    </w:p>
    <w:p>
      <w:pPr>
        <w:spacing w:after="0" w:line="162"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20" w:firstLine="401"/>
        <w:spacing w:after="0" w:line="255" w:lineRule="auto"/>
        <w:rPr>
          <w:sz w:val="20"/>
          <w:szCs w:val="20"/>
          <w:color w:val="auto"/>
        </w:rPr>
      </w:pPr>
      <w:r>
        <w:rPr>
          <w:rFonts w:ascii="Arial" w:cs="Arial" w:eastAsia="Arial" w:hAnsi="Arial"/>
          <w:sz w:val="18"/>
          <w:szCs w:val="18"/>
          <w:color w:val="auto"/>
        </w:rPr>
        <w:t>We are authorized to issue 135 million shares of all classes of stock, of which 15 million shares are designated Class A common stock, 100 million shares are designated common stock, and 20 million shares are designated “blank check” preferred stock for which our Board of Directors has the authority to determine the rights, powers, limitations and restrictions. The rights of our common stock and Class A common stock are identical, except that our Class A common stock has 10 votes per share and our common stock has one vote per share. Our common stock and Class A common stock are entitled to receive cash dividends if declared, on an equal per-share basis. For the three and six-month periods ended June 30, 2017 and 2016, we did not declare or pay any common stock or Class A common stock dividends.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ind w:right="40" w:firstLine="389"/>
        <w:spacing w:after="0" w:line="276" w:lineRule="auto"/>
        <w:rPr>
          <w:sz w:val="20"/>
          <w:szCs w:val="20"/>
          <w:color w:val="auto"/>
        </w:rPr>
      </w:pPr>
      <w:r>
        <w:rPr>
          <w:rFonts w:ascii="Arial" w:cs="Arial" w:eastAsia="Arial" w:hAnsi="Arial"/>
          <w:sz w:val="17"/>
          <w:szCs w:val="17"/>
          <w:color w:val="auto"/>
        </w:rPr>
        <w:t>In each of March and November 2004, the Board of Directors of the Company authorized the Company to repurchase up to 2.0 million shares of the Company's common stock and Class A common stock. In March 2006, this authorization was increased to an aggregate of 5.0 million shares (the “2004-2006 Repurchase Authorization”). As of December 31, 2016, 279,200 shares remain available for repurchase under this authorization, which has no expiration date. On November 6, 2016, the Board of Directors of the Company authorized the Company to purchase up to an additional $75.0 million of our outstanding common stock prior to December 31, 2019 (the “2016 Repurchase Authorization”).</w:t>
      </w:r>
    </w:p>
    <w:p>
      <w:pPr>
        <w:spacing w:after="0" w:line="173" w:lineRule="exact"/>
        <w:rPr>
          <w:sz w:val="20"/>
          <w:szCs w:val="20"/>
          <w:color w:val="auto"/>
        </w:rPr>
      </w:pPr>
    </w:p>
    <w:p>
      <w:pPr>
        <w:ind w:right="240" w:firstLine="389"/>
        <w:spacing w:after="0" w:line="279" w:lineRule="auto"/>
        <w:rPr>
          <w:sz w:val="20"/>
          <w:szCs w:val="20"/>
          <w:color w:val="auto"/>
        </w:rPr>
      </w:pPr>
      <w:r>
        <w:rPr>
          <w:rFonts w:ascii="Arial" w:cs="Arial" w:eastAsia="Arial" w:hAnsi="Arial"/>
          <w:sz w:val="17"/>
          <w:szCs w:val="17"/>
          <w:color w:val="auto"/>
        </w:rPr>
        <w:t>The 2016 Repurchase Authorization prohibits the Company from purchasing shares directly from the Company’s officers, directors, or the Gray Television, Inc. Capital Accumulation Plan (401K plan). During the three-months ended June 30, 2017, under the 2016 Repurchase Authorization, we purchased 322,038 shares of our common stock at an average purchase price of $12.39 per share, or a total cost of $4.0 million. As of June 30, 2017, $69.0 million remains available to purchase shares of our common stock under the 2016 Repurchase Authorization.</w:t>
      </w:r>
    </w:p>
    <w:p>
      <w:pPr>
        <w:spacing w:after="0" w:line="171" w:lineRule="exact"/>
        <w:rPr>
          <w:sz w:val="20"/>
          <w:szCs w:val="20"/>
          <w:color w:val="auto"/>
        </w:rPr>
      </w:pPr>
    </w:p>
    <w:p>
      <w:pPr>
        <w:ind w:right="160" w:firstLine="389"/>
        <w:spacing w:after="0" w:line="312" w:lineRule="auto"/>
        <w:rPr>
          <w:sz w:val="20"/>
          <w:szCs w:val="20"/>
          <w:color w:val="auto"/>
        </w:rPr>
      </w:pPr>
      <w:r>
        <w:rPr>
          <w:rFonts w:ascii="Arial" w:cs="Arial" w:eastAsia="Arial" w:hAnsi="Arial"/>
          <w:sz w:val="16"/>
          <w:szCs w:val="16"/>
          <w:color w:val="auto"/>
        </w:rPr>
        <w:t>The extent to which the Company repurchases any of its shares, the number of shares and the timing of any repurchases will depend on general market conditions, regulatory requirements, alternative investment opportunities and other considerations. The Company is not required to repurchase a minimum number of shares, and the repurchase authorizations may be modified, suspended or terminated at any time without prior notice.</w:t>
      </w:r>
    </w:p>
    <w:p>
      <w:pPr>
        <w:spacing w:after="0" w:line="147" w:lineRule="exact"/>
        <w:rPr>
          <w:sz w:val="20"/>
          <w:szCs w:val="20"/>
          <w:color w:val="auto"/>
        </w:rPr>
      </w:pPr>
    </w:p>
    <w:p>
      <w:pPr>
        <w:ind w:right="40" w:firstLine="389"/>
        <w:spacing w:after="0" w:line="302" w:lineRule="auto"/>
        <w:rPr>
          <w:sz w:val="20"/>
          <w:szCs w:val="20"/>
          <w:color w:val="auto"/>
        </w:rPr>
      </w:pPr>
      <w:r>
        <w:rPr>
          <w:rFonts w:ascii="Arial" w:cs="Arial" w:eastAsia="Arial" w:hAnsi="Arial"/>
          <w:sz w:val="16"/>
          <w:szCs w:val="16"/>
          <w:color w:val="auto"/>
        </w:rPr>
        <w:t>Under our various employee benefit plans, we may, at our discretion, issue authorized and unissued shares, or previously issued shares held in treasury, of our Class A common stock or common stock. As of June 30, 2017, we had reserved 6,044,746 shares and 1,923,144 shares of our common stock and Class A common stock, respectively, for future issuance under various employee benefit plans. As of December 31, 2016, we had reserved 5,449,148 shares and 257,581 shares of our common stock and Class A common stock, respectively, for future issuance under various employee benefit plans.</w:t>
      </w:r>
    </w:p>
    <w:p>
      <w:pPr>
        <w:spacing w:after="0" w:line="150"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provides the components of net periodic benefit cost for our defined benefit pension plans for the three-month and six-month periods ended June 30, 2017 and 2016 (in thousands):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cost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Expected return on plan assets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Loss amortization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Net periodic cost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1,185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2,335</w:t>
            </w: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2,369</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(1,848)</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(1,298)</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(2,824)</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(2,595)</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r>
      <w:tr>
        <w:trPr>
          <w:trHeight w:val="210"/>
        </w:trPr>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-719455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-445135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-162560</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584" w:right="239" w:bottom="1440" w:gutter="0" w:footer="0" w:header="0"/>
          <w:type w:val="continuous"/>
        </w:sectPr>
      </w:pPr>
    </w:p>
    <w:p>
      <w:pPr>
        <w:spacing w:after="0" w:line="5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During the six-month period ended June 30, 2017, we contributed $0.6 million to our defined benefit pension plans. During the remainder of 2017, we expect to contribute an additional $1.7 million to these plans.</w:t>
      </w:r>
    </w:p>
    <w:p>
      <w:pPr>
        <w:spacing w:after="0" w:line="17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During the three and six-month periods ended June 30, 2017, we contributed $1.8 million and $3.7 million, respectively, in matching contributions to our defined contribution plan, the Gray Television, Inc. Capital Accumulation Plan. During the remainder of 2017, we estimate that our contributions will be approximately $3.2 million to this plan, excluding discretionary profit-sharing contributions.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7" w:name="page18"/>
    <w:bookmarkEnd w:id="17"/>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0" w:firstLine="389"/>
        <w:spacing w:after="0" w:line="257" w:lineRule="auto"/>
        <w:rPr>
          <w:sz w:val="20"/>
          <w:szCs w:val="20"/>
          <w:color w:val="auto"/>
        </w:rPr>
      </w:pPr>
      <w:r>
        <w:rPr>
          <w:rFonts w:ascii="Arial" w:cs="Arial" w:eastAsia="Arial" w:hAnsi="Arial"/>
          <w:sz w:val="18"/>
          <w:szCs w:val="18"/>
          <w:color w:val="auto"/>
        </w:rPr>
        <w:t>We recognize compensation expense for share-based payment awards made to our employees, consultants and directors, including stock options and restricted shares awarded under our 2017 Equity and Incentive Compensation Plan (the “2017 EICP”); our 2007 Long-Term Incentive Plan, as amended (the “2007 Incentive Plan”); and our Directors’ Restricted Stock Plan. Currently, there are no outstanding share awards under our Directors’ Restricted Stock Plan. The following table provides information on our share-based compensation expense and related income tax benefit for the three and six-month periods ended June 30, 2017 and 2016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gross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w w:val="92"/>
              </w:rPr>
              <w:t>Income tax benefit at our statutory rate associated with share-based compensation</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(559)</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(1,081)</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r>
      <w:tr>
        <w:trPr>
          <w:trHeight w:val="25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 expense, net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6"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The 2017 EICP provides and, until May 2, 2017, the 2007 Incentive Plan provided for the grant of incentive stock options, nonqualified stock options, restricted stock awards, stock appreciation rights, and performance awards to acquire shares of our Class A common stock or common stock, or other awards based on our performance, to our employees, consultants and non-employee directors.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six-month period ended June 30, 2017, we granted:</w:t>
      </w:r>
    </w:p>
    <w:p>
      <w:pPr>
        <w:spacing w:after="0" w:line="225" w:lineRule="exact"/>
        <w:rPr>
          <w:sz w:val="20"/>
          <w:szCs w:val="20"/>
          <w:color w:val="auto"/>
        </w:rPr>
      </w:pPr>
    </w:p>
    <w:p>
      <w:pPr>
        <w:ind w:left="1060" w:right="80" w:hanging="323"/>
        <w:spacing w:after="0" w:line="25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307,943 shares of restricted common stock to certain employees, of which 102,648 shares will vest on each of January 31, 2018 and 2019; and 102,647 shares will vest on January 31, 2020.</w:t>
      </w:r>
    </w:p>
    <w:p>
      <w:pPr>
        <w:spacing w:after="0" w:line="1" w:lineRule="exact"/>
        <w:rPr>
          <w:rFonts w:ascii="Arial" w:cs="Arial" w:eastAsia="Arial" w:hAnsi="Arial"/>
          <w:sz w:val="18"/>
          <w:szCs w:val="18"/>
          <w:color w:val="auto"/>
        </w:rPr>
      </w:pPr>
    </w:p>
    <w:p>
      <w:pPr>
        <w:ind w:left="1060" w:right="260" w:hanging="323"/>
        <w:spacing w:after="0" w:line="250"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198,220 shares of restricted Class A common stock to an employee, of which 66,073 shares will vest on each of January 31, 2018 and 2019, and 66,074 shares will vest on January 31, 2020.</w:t>
      </w: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76,856 shares of restricted Class A common stock to our non-employee directors, all of which will vest on January 31, 2018.</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six-month period ended June 30, 2016, we granted:</w:t>
      </w:r>
    </w:p>
    <w:p>
      <w:pPr>
        <w:spacing w:after="0" w:line="225" w:lineRule="exact"/>
        <w:rPr>
          <w:sz w:val="20"/>
          <w:szCs w:val="20"/>
          <w:color w:val="auto"/>
        </w:rPr>
      </w:pPr>
    </w:p>
    <w:p>
      <w:pPr>
        <w:ind w:left="1040" w:hanging="316"/>
        <w:spacing w:after="0" w:line="258"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218,452 shares of restricted common stock to certain employees, of which 72,816 shares vested on January 31, 2017; 72,816 shares will vest on January 31, 2018; and 72,820 shares will vest on January 31, 2019.</w:t>
      </w:r>
    </w:p>
    <w:p>
      <w:pPr>
        <w:spacing w:after="0" w:line="1" w:lineRule="exact"/>
        <w:rPr>
          <w:rFonts w:ascii="Arial" w:cs="Arial" w:eastAsia="Arial" w:hAnsi="Arial"/>
          <w:sz w:val="18"/>
          <w:szCs w:val="18"/>
          <w:color w:val="auto"/>
        </w:rPr>
      </w:pPr>
    </w:p>
    <w:p>
      <w:pPr>
        <w:ind w:left="1040" w:right="100" w:hanging="316"/>
        <w:spacing w:after="0" w:line="25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166,677 shares of restricted Class A common stock to an employee, of which 55,559 shares vested on January 31, 2017 and 55,559 shares will vest on each of January 31, 2018 and 2019.</w:t>
      </w:r>
    </w:p>
    <w:p>
      <w:pPr>
        <w:ind w:left="1040" w:right="480" w:hanging="316"/>
        <w:spacing w:after="0" w:line="261"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19,048 shares of restricted common stock and 51,935 shares of restricted Class A common stock to certain non-employee directors, all of which vested on January 31, 2017.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8" w:name="page19"/>
    <w:bookmarkEnd w:id="18"/>
    <w:p>
      <w:pPr>
        <w:ind w:left="420"/>
        <w:spacing w:after="0"/>
        <w:rPr>
          <w:sz w:val="20"/>
          <w:szCs w:val="20"/>
          <w:color w:val="auto"/>
        </w:rPr>
      </w:pPr>
      <w:r>
        <w:rPr>
          <w:rFonts w:ascii="Arial" w:cs="Arial" w:eastAsia="Arial" w:hAnsi="Arial"/>
          <w:sz w:val="16"/>
          <w:szCs w:val="16"/>
          <w:color w:val="auto"/>
        </w:rPr>
        <w:t>A summary of restricted common stock and Class A common stock activity for the six-month periods ended June 30, 2017 and 2016 is as follows:</w:t>
      </w:r>
    </w:p>
    <w:p>
      <w:pPr>
        <w:sectPr>
          <w:pgSz w:w="11900" w:h="16838" w:orient="portrait"/>
          <w:cols w:equalWidth="0" w:num="1">
            <w:col w:w="11320"/>
          </w:cols>
          <w:pgMar w:left="24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 common: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Outstanding - beginning of period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Vested</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Outstanding - end of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 Class A common: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Restricted stock - beginning of period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Vested</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Restricted stock - end of period</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Borders>
              <w:top w:val="single" w:sz="8" w:color="auto"/>
            </w:tcBorders>
            <w:gridSpan w:val="6"/>
          </w:tcPr>
          <w:p>
            <w:pPr>
              <w:ind w:left="740"/>
              <w:spacing w:after="0"/>
              <w:rPr>
                <w:sz w:val="20"/>
                <w:szCs w:val="20"/>
                <w:color w:val="auto"/>
              </w:rPr>
            </w:pPr>
            <w:r>
              <w:rPr>
                <w:rFonts w:ascii="Arial" w:cs="Arial" w:eastAsia="Arial" w:hAnsi="Arial"/>
                <w:sz w:val="18"/>
                <w:szCs w:val="18"/>
                <w:b w:val="1"/>
                <w:bCs w:val="1"/>
                <w:color w:val="auto"/>
              </w:rPr>
              <w:t>June 30, 2017</w:t>
            </w:r>
          </w:p>
        </w:tc>
        <w:tc>
          <w:tcPr>
            <w:tcW w:w="2500" w:type="dxa"/>
            <w:vAlign w:val="bottom"/>
            <w:tcBorders>
              <w:top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June 30, 2016</w:t>
            </w:r>
          </w:p>
        </w:tc>
        <w:tc>
          <w:tcPr>
            <w:tcW w:w="20" w:type="dxa"/>
            <w:vAlign w:val="bottom"/>
          </w:tcPr>
          <w:p>
            <w:pPr>
              <w:spacing w:after="0"/>
              <w:rPr>
                <w:sz w:val="18"/>
                <w:szCs w:val="18"/>
                <w:color w:val="auto"/>
              </w:rPr>
            </w:pPr>
          </w:p>
        </w:tc>
      </w:tr>
      <w:tr>
        <w:trPr>
          <w:trHeight w:val="191"/>
        </w:trPr>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Grant Date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20" w:type="dxa"/>
            <w:vAlign w:val="bottom"/>
          </w:tcPr>
          <w:p>
            <w:pPr>
              <w:spacing w:after="0"/>
              <w:rPr>
                <w:sz w:val="20"/>
                <w:szCs w:val="20"/>
                <w:color w:val="auto"/>
              </w:rPr>
            </w:pPr>
          </w:p>
        </w:tc>
      </w:tr>
      <w:tr>
        <w:trPr>
          <w:trHeight w:val="411"/>
        </w:trPr>
        <w:tc>
          <w:tcPr>
            <w:tcW w:w="1160" w:type="dxa"/>
            <w:vAlign w:val="bottom"/>
          </w:tcPr>
          <w:p>
            <w:pPr>
              <w:jc w:val="right"/>
              <w:spacing w:after="0"/>
              <w:rPr>
                <w:sz w:val="20"/>
                <w:szCs w:val="20"/>
                <w:color w:val="auto"/>
              </w:rPr>
            </w:pPr>
            <w:r>
              <w:rPr>
                <w:rFonts w:ascii="Arial" w:cs="Arial" w:eastAsia="Arial" w:hAnsi="Arial"/>
                <w:sz w:val="18"/>
                <w:szCs w:val="18"/>
                <w:color w:val="auto"/>
              </w:rPr>
              <w:t>396,033</w:t>
            </w:r>
          </w:p>
        </w:tc>
        <w:tc>
          <w:tcPr>
            <w:tcW w:w="1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12.06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337,506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9.57</w:t>
            </w:r>
          </w:p>
        </w:tc>
      </w:tr>
      <w:tr>
        <w:trPr>
          <w:trHeight w:val="216"/>
        </w:trPr>
        <w:tc>
          <w:tcPr>
            <w:tcW w:w="1160" w:type="dxa"/>
            <w:vAlign w:val="bottom"/>
          </w:tcPr>
          <w:p>
            <w:pPr>
              <w:jc w:val="right"/>
              <w:spacing w:after="0"/>
              <w:rPr>
                <w:sz w:val="20"/>
                <w:szCs w:val="20"/>
                <w:color w:val="auto"/>
              </w:rPr>
            </w:pPr>
            <w:r>
              <w:rPr>
                <w:rFonts w:ascii="Arial" w:cs="Arial" w:eastAsia="Arial" w:hAnsi="Arial"/>
                <w:sz w:val="18"/>
                <w:szCs w:val="18"/>
                <w:color w:val="auto"/>
              </w:rPr>
              <w:t>307,943</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10.40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237,500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12.88</w:t>
            </w:r>
          </w:p>
        </w:tc>
      </w:tr>
      <w:tr>
        <w:trPr>
          <w:trHeight w:val="230"/>
        </w:trPr>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(200,291)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11.82</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(178,973)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8.46</w:t>
            </w:r>
          </w:p>
        </w:tc>
      </w:tr>
      <w:tr>
        <w:trPr>
          <w:trHeight w:val="210"/>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503,685</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11.14</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396,033</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12.06</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614"/>
        </w:trPr>
        <w:tc>
          <w:tcPr>
            <w:tcW w:w="1160" w:type="dxa"/>
            <w:vAlign w:val="bottom"/>
          </w:tcPr>
          <w:p>
            <w:pPr>
              <w:jc w:val="right"/>
              <w:spacing w:after="0"/>
              <w:rPr>
                <w:sz w:val="20"/>
                <w:szCs w:val="20"/>
                <w:color w:val="auto"/>
              </w:rPr>
            </w:pPr>
            <w:r>
              <w:rPr>
                <w:rFonts w:ascii="Arial" w:cs="Arial" w:eastAsia="Arial" w:hAnsi="Arial"/>
                <w:sz w:val="18"/>
                <w:szCs w:val="18"/>
                <w:color w:val="auto"/>
              </w:rPr>
              <w:t>415,082</w:t>
            </w:r>
          </w:p>
        </w:tc>
        <w:tc>
          <w:tcPr>
            <w:tcW w:w="1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10.15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374,693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9.46</w:t>
            </w:r>
          </w:p>
        </w:tc>
      </w:tr>
      <w:tr>
        <w:trPr>
          <w:trHeight w:val="216"/>
        </w:trPr>
        <w:tc>
          <w:tcPr>
            <w:tcW w:w="1160" w:type="dxa"/>
            <w:vAlign w:val="bottom"/>
          </w:tcPr>
          <w:p>
            <w:pPr>
              <w:jc w:val="right"/>
              <w:spacing w:after="0"/>
              <w:rPr>
                <w:sz w:val="20"/>
                <w:szCs w:val="20"/>
                <w:color w:val="auto"/>
              </w:rPr>
            </w:pPr>
            <w:r>
              <w:rPr>
                <w:rFonts w:ascii="Arial" w:cs="Arial" w:eastAsia="Arial" w:hAnsi="Arial"/>
                <w:sz w:val="18"/>
                <w:szCs w:val="18"/>
                <w:color w:val="auto"/>
              </w:rPr>
              <w:t>275,076</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10.84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218,612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11.25</w:t>
            </w:r>
          </w:p>
        </w:tc>
      </w:tr>
      <w:tr>
        <w:trPr>
          <w:trHeight w:val="230"/>
        </w:trPr>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(227,526)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(178,223)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r>
      <w:tr>
        <w:trPr>
          <w:trHeight w:val="210"/>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462,632</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10.63</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415,082</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10.15</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-1577340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-1303020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-1019810</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-719455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-445135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-162560</wp:posOffset>
            </wp:positionV>
            <wp:extent cx="72466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240"/>
          </w:cols>
          <w:pgMar w:left="240" w:top="584" w:right="339" w:bottom="1440" w:gutter="0" w:footer="0" w:header="0"/>
          <w:type w:val="continuous"/>
        </w:sectPr>
      </w:pPr>
    </w:p>
    <w:p>
      <w:pPr>
        <w:spacing w:after="0" w:line="56" w:lineRule="exact"/>
        <w:rPr>
          <w:sz w:val="20"/>
          <w:szCs w:val="20"/>
          <w:color w:val="auto"/>
        </w:rPr>
      </w:pPr>
    </w:p>
    <w:p>
      <w:pPr>
        <w:ind w:right="40" w:firstLine="389"/>
        <w:spacing w:after="0" w:line="259" w:lineRule="auto"/>
        <w:rPr>
          <w:sz w:val="20"/>
          <w:szCs w:val="20"/>
          <w:color w:val="auto"/>
        </w:rPr>
      </w:pPr>
      <w:r>
        <w:rPr>
          <w:rFonts w:ascii="Arial" w:cs="Arial" w:eastAsia="Arial" w:hAnsi="Arial"/>
          <w:sz w:val="18"/>
          <w:szCs w:val="18"/>
          <w:color w:val="auto"/>
        </w:rPr>
        <w:t>At June 30, 2017 and December 31, 2016, we had 274,746 options to acquire our common stock outstanding, all of which were vested and exercisable. The exercise price of all outstanding stock options is $1.99 per share. As of June 30, 2017 and December 31, 2016, we did not have any options outstanding for our Class A common stock. The aggregate intrinsic value of our outstanding stock options was $3.2 million based on the closing market price of our common stock on June 30, 2017.</w:t>
      </w:r>
    </w:p>
    <w:p>
      <w:pPr>
        <w:spacing w:after="0" w:line="359"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From time to time, we are or may become subject to legal proceedings and claims that arise in the normal course of our business. In our opinion, the amount of ultimate liability, if any, with respect to known actions, will not materially affect our financial position. However, the outcome of any one or more matters cannot be predicted with certainty, and the unfavorable resolution of any matter could have a material adverse effect on us.</w:t>
      </w:r>
    </w:p>
    <w:p>
      <w:pPr>
        <w:spacing w:after="0" w:line="337"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During the six-month period ended June 30, 2017, we acquired and disposed of various television broadcast stations and broadcast licenses. See Note 1 “Basis of Presentation” and Note 2 “Acquisitions and Dispositions” for more information regarding these transactions. As a result of these transactions, our goodwill and other intangible asset balances changed. A summary of changes in our goodwill and other intangible assets, on a net basis, for the six-month period ended June 30, 2017 is as follows (in thousands):</w:t>
      </w:r>
    </w:p>
    <w:p>
      <w:pPr>
        <w:sectPr>
          <w:pgSz w:w="11900" w:h="16838" w:orient="portrait"/>
          <w:cols w:equalWidth="0" w:num="1">
            <w:col w:w="11320"/>
          </w:cols>
          <w:pgMar w:left="240" w:top="5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Broadcast licenses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Finite-lived intangible assets</w:t>
      </w:r>
    </w:p>
    <w:p>
      <w:pPr>
        <w:spacing w:after="0" w:line="23" w:lineRule="exact"/>
        <w:rPr>
          <w:sz w:val="20"/>
          <w:szCs w:val="20"/>
          <w:color w:val="auto"/>
        </w:rPr>
      </w:pPr>
    </w:p>
    <w:p>
      <w:pPr>
        <w:ind w:left="180" w:hanging="161"/>
        <w:spacing w:after="0" w:line="261" w:lineRule="auto"/>
        <w:rPr>
          <w:sz w:val="20"/>
          <w:szCs w:val="20"/>
          <w:color w:val="auto"/>
        </w:rPr>
      </w:pPr>
      <w:r>
        <w:rPr>
          <w:rFonts w:ascii="Arial" w:cs="Arial" w:eastAsia="Arial" w:hAnsi="Arial"/>
          <w:sz w:val="18"/>
          <w:szCs w:val="18"/>
          <w:color w:val="auto"/>
        </w:rPr>
        <w:t>Total intangible assets net of accumulated amortization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Net Balance at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0"/>
              </w:rPr>
              <w:t>Net Balance at</w:t>
            </w:r>
          </w:p>
        </w:tc>
      </w:tr>
      <w:tr>
        <w:trPr>
          <w:trHeight w:val="216"/>
        </w:trPr>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r>
      <w:tr>
        <w:trPr>
          <w:trHeight w:val="234"/>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Additions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Dispositions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Impairments</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41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485,318</w:t>
            </w:r>
          </w:p>
        </w:tc>
        <w:tc>
          <w:tcPr>
            <w:tcW w:w="12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125,176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610,494</w:t>
            </w:r>
          </w:p>
        </w:tc>
      </w:tr>
      <w:tr>
        <w:trPr>
          <w:trHeight w:val="216"/>
        </w:trPr>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1,340,305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195,332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(13,105)</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1,522,532</w:t>
            </w:r>
          </w:p>
        </w:tc>
      </w:tr>
      <w:tr>
        <w:trPr>
          <w:trHeight w:val="230"/>
        </w:trPr>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34,338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(12,224)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78,364</w:t>
            </w:r>
          </w:p>
        </w:tc>
      </w:tr>
      <w:tr>
        <w:trPr>
          <w:trHeight w:val="20"/>
        </w:trPr>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38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1,881,873</w:t>
            </w:r>
          </w:p>
        </w:tc>
        <w:tc>
          <w:tcPr>
            <w:tcW w:w="12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354,846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(13,105)</w:t>
            </w:r>
          </w:p>
        </w:tc>
        <w:tc>
          <w:tcPr>
            <w:tcW w:w="114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(12,224)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2,211,390</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-694055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-419735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3020" w:space="320"/>
            <w:col w:w="7980"/>
          </w:cols>
          <w:pgMar w:left="240" w:top="584" w:right="339" w:bottom="1440" w:gutter="0" w:footer="0" w:header="0"/>
          <w:type w:val="continuous"/>
        </w:sect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type w:val="continuous"/>
        </w:sectPr>
      </w:pPr>
    </w:p>
    <w:bookmarkStart w:id="19" w:name="page20"/>
    <w:bookmarkEnd w:id="19"/>
    <w:p>
      <w:pPr>
        <w:ind w:left="400"/>
        <w:spacing w:after="0"/>
        <w:rPr>
          <w:sz w:val="20"/>
          <w:szCs w:val="20"/>
          <w:color w:val="auto"/>
        </w:rPr>
      </w:pPr>
      <w:r>
        <w:rPr>
          <w:rFonts w:ascii="Arial" w:cs="Arial" w:eastAsia="Arial" w:hAnsi="Arial"/>
          <w:sz w:val="16"/>
          <w:szCs w:val="16"/>
          <w:color w:val="auto"/>
        </w:rPr>
        <w:t>As of June 30, 2017 and December 31, 2016, our intangible assets and related accumulated amortization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89"/>
              </w:rPr>
              <w:t>As of June 30, 2017</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45"/>
              <w:spacing w:after="0"/>
              <w:rPr>
                <w:sz w:val="20"/>
                <w:szCs w:val="20"/>
                <w:color w:val="auto"/>
              </w:rPr>
            </w:pPr>
            <w:r>
              <w:rPr>
                <w:rFonts w:ascii="Arial" w:cs="Arial" w:eastAsia="Arial" w:hAnsi="Arial"/>
                <w:sz w:val="18"/>
                <w:szCs w:val="18"/>
                <w:b w:val="1"/>
                <w:bCs w:val="1"/>
                <w:color w:val="auto"/>
              </w:rPr>
              <w:t>As of December 31, 2016</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right"/>
              <w:ind w:right="20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6"/>
              </w:rPr>
              <w:t>Amortization</w:t>
            </w:r>
          </w:p>
        </w:tc>
        <w:tc>
          <w:tcPr>
            <w:tcW w:w="260" w:type="dxa"/>
            <w:vAlign w:val="bottom"/>
          </w:tcPr>
          <w:p>
            <w:pPr>
              <w:spacing w:after="0"/>
              <w:rPr>
                <w:sz w:val="20"/>
                <w:szCs w:val="2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Gross</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Amortization</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Intangible assets not currently subject to</w:t>
            </w: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Broadcast licenses</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1,576,231</w:t>
            </w:r>
          </w:p>
        </w:tc>
        <w:tc>
          <w:tcPr>
            <w:tcW w:w="500" w:type="dxa"/>
            <w:vAlign w:val="bottom"/>
            <w:gridSpan w:val="2"/>
          </w:tcPr>
          <w:p>
            <w:pPr>
              <w:jc w:val="right"/>
              <w:ind w:right="11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(53,699)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1,522,532</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1,394,004</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(53,699)</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1,340,305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610,494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610,494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485,318</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2,186,725</w:t>
            </w:r>
          </w:p>
        </w:tc>
        <w:tc>
          <w:tcPr>
            <w:tcW w:w="500" w:type="dxa"/>
            <w:vAlign w:val="bottom"/>
            <w:gridSpan w:val="2"/>
          </w:tcPr>
          <w:p>
            <w:pPr>
              <w:jc w:val="right"/>
              <w:ind w:right="11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(53,699)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2,133,026</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1,879,322</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(53,699)</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1,825,623</w:t>
            </w:r>
          </w:p>
        </w:tc>
        <w:tc>
          <w:tcPr>
            <w:tcW w:w="0" w:type="dxa"/>
            <w:vAlign w:val="bottom"/>
          </w:tcPr>
          <w:p>
            <w:pPr>
              <w:spacing w:after="0"/>
              <w:rPr>
                <w:sz w:val="1"/>
                <w:szCs w:val="1"/>
                <w:color w:val="auto"/>
              </w:rPr>
            </w:pPr>
          </w:p>
        </w:tc>
      </w:tr>
      <w:tr>
        <w:trPr>
          <w:trHeight w:val="20"/>
        </w:trPr>
        <w:tc>
          <w:tcPr>
            <w:tcW w:w="3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7"/>
              </w:rPr>
              <w:t>Intangible assets subject to amortization: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Network affiliation agreements</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50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3,875</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(1,264)</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w w:val="98"/>
              </w:rPr>
              <w:t>Other definite lived intangible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135,096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(60,607)</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74,489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105,792</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(49,542)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141,312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00" w:type="dxa"/>
            <w:vAlign w:val="bottom"/>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intangibles</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2,328,037</w:t>
            </w:r>
          </w:p>
        </w:tc>
        <w:tc>
          <w:tcPr>
            <w:tcW w:w="50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(116,647)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2,211,390</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1,986,378</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(104,505)</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389"/>
        <w:spacing w:after="0" w:line="259" w:lineRule="auto"/>
        <w:rPr>
          <w:sz w:val="20"/>
          <w:szCs w:val="20"/>
          <w:color w:val="auto"/>
        </w:rPr>
      </w:pPr>
      <w:r>
        <w:rPr>
          <w:rFonts w:ascii="Arial" w:cs="Arial" w:eastAsia="Arial" w:hAnsi="Arial"/>
          <w:sz w:val="18"/>
          <w:szCs w:val="18"/>
          <w:color w:val="auto"/>
        </w:rPr>
        <w:t>Amortization expense for the six-months ended June 30, 2017 and 2016 was $12.2 million and $8.1 million, respectively. Based on the current amount of intangible assets subject to amortization, we expect that amortization expense for the succeeding five years will be as follows: 2018, $16.4 million; 2019, $13.8 million; 2020, $10.8 million; 2021, $7.1 million; and 2022, $4.9 million. If and when acquisitions or dispositions occur in the future, actual amounts may vary from these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broadcast licenses</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Our intangible assets are primarily comprised of broadcast licenses. There were no triggering events that required a test of our goodwill or intangible assets for impairment during the six-month period ended June 30, 2017.</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right="520" w:firstLine="389"/>
        <w:spacing w:after="0" w:line="277" w:lineRule="auto"/>
        <w:rPr>
          <w:sz w:val="20"/>
          <w:szCs w:val="20"/>
          <w:color w:val="auto"/>
        </w:rPr>
      </w:pPr>
      <w:r>
        <w:rPr>
          <w:rFonts w:ascii="Arial" w:cs="Arial" w:eastAsia="Arial" w:hAnsi="Arial"/>
          <w:sz w:val="18"/>
          <w:szCs w:val="18"/>
          <w:color w:val="auto"/>
        </w:rPr>
        <w:t>For the three-month and six-month periods ended June 30, 2017 and 2016, our income tax expense and effective income tax rates were as follows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160" w:type="dxa"/>
            <w:vAlign w:val="bottom"/>
            <w:shd w:val="clear" w:color="auto" w:fill="CCEEFF"/>
          </w:tcPr>
          <w:p>
            <w:pPr>
              <w:spacing w:after="0"/>
              <w:rPr>
                <w:sz w:val="18"/>
                <w:szCs w:val="18"/>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40.4%</w:t>
            </w:r>
          </w:p>
        </w:tc>
        <w:tc>
          <w:tcPr>
            <w:tcW w:w="2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r>
    </w:tbl>
    <w:p>
      <w:pPr>
        <w:spacing w:after="0" w:line="241" w:lineRule="exact"/>
        <w:rPr>
          <w:sz w:val="20"/>
          <w:szCs w:val="20"/>
          <w:color w:val="auto"/>
        </w:rPr>
      </w:pPr>
    </w:p>
    <w:p>
      <w:pPr>
        <w:ind w:right="20" w:firstLine="401"/>
        <w:spacing w:after="0" w:line="289" w:lineRule="auto"/>
        <w:rPr>
          <w:sz w:val="20"/>
          <w:szCs w:val="20"/>
          <w:color w:val="auto"/>
        </w:rPr>
      </w:pPr>
      <w:r>
        <w:rPr>
          <w:rFonts w:ascii="Arial" w:cs="Arial" w:eastAsia="Arial" w:hAnsi="Arial"/>
          <w:sz w:val="16"/>
          <w:szCs w:val="16"/>
          <w:color w:val="auto"/>
        </w:rPr>
        <w:t>We estimate our differences between taxable income or loss and recorded income or loss on an annual basis. Our tax provision for each quarter is based upon these full year projections, which are revised each reporting period. These projections incorporate estimates of permanent differences between U.S. GAAP income or loss and taxable income or loss, state income taxes and adjustments to our liability for unrecognized tax benefits to adjust our statutory Federal income tax rate of 35.0% to our effective income tax rate. For the six-month period ended June 30, 2017, these estimates increased or decreased our statutory Federal income tax rate of 35.0% to our effective income tax rate of 40.5% as follows: state income taxes added 4.3%, permanent differences between our U.S. GAAP income and taxable income added 1.3%, and a discrete share-based compensation adjustment resulted in a reduction 0.1%. For the six-month period ended June 30, 2016, these estimates increased or decreased our statutory Federal income tax rate of 35.0% to our effective income tax rate of 40.7% as follows: state income taxes added 4.4% and permanent differences between our U.S. GAAP income and taxable income added 1.2%, and discrete share-based compensation adjustments added 0.5%, while adjustments to our reserve for uncertain tax positions resulted in a reduction of 0.4%.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right="120" w:firstLine="389"/>
        <w:spacing w:after="0" w:line="259" w:lineRule="auto"/>
        <w:rPr>
          <w:sz w:val="20"/>
          <w:szCs w:val="20"/>
          <w:color w:val="auto"/>
        </w:rPr>
      </w:pPr>
      <w:r>
        <w:rPr>
          <w:rFonts w:ascii="Arial" w:cs="Arial" w:eastAsia="Arial" w:hAnsi="Arial"/>
          <w:sz w:val="18"/>
          <w:szCs w:val="18"/>
          <w:color w:val="auto"/>
        </w:rPr>
        <w:t>On August 1, 2017, we acquired WCAX-TV (CBS) in the Burlington, Vermont – Plattsburgh, New York television markets (DMA 97) from Mt. Mansfield Television, Inc., for $29.0 million in cash (the “Vermont Acquisition”). On June 1, 2017, we advanced $23.2 million of the purchase price to the seller and began to operate the station under an LMA, subject to the control of the seller. At closing, we paid the remaining $5.8 million of the purchase price through the use of cash on hand and the LMA was terminated.</w:t>
      </w:r>
    </w:p>
    <w:p>
      <w:pPr>
        <w:spacing w:after="0" w:line="187"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The preliminary fair value estimates of the assets acquired, liabilities assumed and resulting goodwill of the Vermont Acquisition are summarized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64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6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Goodwill</w:t>
            </w:r>
          </w:p>
        </w:tc>
        <w:tc>
          <w:tcPr>
            <w:tcW w:w="6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Broadcast licenses</w:t>
            </w:r>
          </w:p>
        </w:tc>
        <w:tc>
          <w:tcPr>
            <w:tcW w:w="6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6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160" w:type="dxa"/>
            <w:vAlign w:val="bottom"/>
            <w:vMerge w:val="restart"/>
          </w:tcPr>
          <w:p>
            <w:pPr>
              <w:jc w:val="right"/>
              <w:ind w:right="3950"/>
              <w:spacing w:after="0"/>
              <w:rPr>
                <w:sz w:val="20"/>
                <w:szCs w:val="20"/>
                <w:color w:val="auto"/>
              </w:rPr>
            </w:pPr>
            <w:r>
              <w:rPr>
                <w:rFonts w:ascii="Arial" w:cs="Arial" w:eastAsia="Arial" w:hAnsi="Arial"/>
                <w:sz w:val="18"/>
                <w:szCs w:val="18"/>
                <w:color w:val="auto"/>
              </w:rPr>
              <w:t>21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6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660" w:type="dxa"/>
            <w:vAlign w:val="bottom"/>
            <w:shd w:val="clear" w:color="auto" w:fill="808080"/>
          </w:tcPr>
          <w:p>
            <w:pPr>
              <w:spacing w:after="0"/>
              <w:rPr>
                <w:sz w:val="5"/>
                <w:szCs w:val="5"/>
                <w:color w:val="auto"/>
              </w:rPr>
            </w:pPr>
          </w:p>
        </w:tc>
        <w:tc>
          <w:tcPr>
            <w:tcW w:w="61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756" w:right="1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25"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Gray Television, Inc. and its consolidated subsidiaries (except as the context otherwise provides, “Gray,” the “Company,” “we,” “us” or “our,”) is a television broadcast company headquartered in Atlanta, Georgia, that owns and/or operates over 100 television stations and leading digital assets in markets throughout the United States. As of June 30, 2017, we owned and/or operated television stations in 57 television markets broadcasting over 200 programming streams, including 104 channels affiliated with the CBS Network (“CBS”), the NBC Network (“NBC”), the ABC Network (“ABC”) and the FOX Network (“FOX”). As of June 30, 2017, our station group reached approximately 10.6% of total United States television households.</w:t>
      </w:r>
    </w:p>
    <w:p>
      <w:pPr>
        <w:spacing w:after="0" w:line="173"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The following analysis of the financial condition and results of operations of Gray Television, Inc. and its consolidated subsidiaries should be read in conjunction with our unaudited condensed consolidated financial statements and related notes contained in this report and our audited consolidated financial statements and related notes contained in our Annual Report on Form 10-K for the fiscal year ended December 31, 2016 (the “2016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Acquisitions</w:t>
      </w:r>
    </w:p>
    <w:p>
      <w:pPr>
        <w:spacing w:after="0" w:line="225" w:lineRule="exact"/>
        <w:rPr>
          <w:sz w:val="20"/>
          <w:szCs w:val="20"/>
          <w:color w:val="auto"/>
        </w:rPr>
      </w:pPr>
    </w:p>
    <w:p>
      <w:pPr>
        <w:ind w:right="140" w:firstLine="389"/>
        <w:spacing w:after="0" w:line="277" w:lineRule="auto"/>
        <w:rPr>
          <w:sz w:val="20"/>
          <w:szCs w:val="20"/>
          <w:color w:val="auto"/>
        </w:rPr>
      </w:pPr>
      <w:r>
        <w:rPr>
          <w:rFonts w:ascii="Arial" w:cs="Arial" w:eastAsia="Arial" w:hAnsi="Arial"/>
          <w:sz w:val="18"/>
          <w:szCs w:val="18"/>
          <w:color w:val="auto"/>
        </w:rPr>
        <w:t>On January 13, 2017, we acquired KTVF-TV (NBC), KXDF-TV (CBS), and KFXF-TV (FOX) in the Fairbanks, Alaska television market (DMA 202) for $8.0 million (the “Fairbanks Acquisition”).</w:t>
      </w:r>
    </w:p>
    <w:p>
      <w:pPr>
        <w:spacing w:after="0" w:line="170" w:lineRule="exact"/>
        <w:rPr>
          <w:sz w:val="20"/>
          <w:szCs w:val="20"/>
          <w:color w:val="auto"/>
        </w:rPr>
      </w:pPr>
    </w:p>
    <w:p>
      <w:pPr>
        <w:ind w:right="160" w:firstLine="406"/>
        <w:spacing w:after="0" w:line="264" w:lineRule="auto"/>
        <w:rPr>
          <w:sz w:val="20"/>
          <w:szCs w:val="20"/>
          <w:color w:val="auto"/>
        </w:rPr>
      </w:pPr>
      <w:r>
        <w:rPr>
          <w:rFonts w:ascii="Arial" w:cs="Arial" w:eastAsia="Arial" w:hAnsi="Arial"/>
          <w:sz w:val="18"/>
          <w:szCs w:val="18"/>
          <w:color w:val="auto"/>
        </w:rPr>
        <w:t>On January 17, 2017, we acquired WBAY-TV (ABC), in the Green Bay, Wisconsin television market (DMA 68), and KWQC-TV (NBC), in the Davenport, Iowa, Rock Island, Illinois, and Moline, Illinois or “Quad Cities” television market (DMA 101) (collectively, the “Media General Acquisition”), for $269.9 million.</w:t>
      </w:r>
    </w:p>
    <w:p>
      <w:pPr>
        <w:spacing w:after="0" w:line="181" w:lineRule="exact"/>
        <w:rPr>
          <w:sz w:val="20"/>
          <w:szCs w:val="20"/>
          <w:color w:val="auto"/>
        </w:rPr>
      </w:pPr>
    </w:p>
    <w:p>
      <w:pPr>
        <w:ind w:right="100" w:firstLine="389"/>
        <w:spacing w:after="0" w:line="286" w:lineRule="auto"/>
        <w:rPr>
          <w:sz w:val="20"/>
          <w:szCs w:val="20"/>
          <w:color w:val="auto"/>
        </w:rPr>
      </w:pPr>
      <w:r>
        <w:rPr>
          <w:rFonts w:ascii="Arial" w:cs="Arial" w:eastAsia="Arial" w:hAnsi="Arial"/>
          <w:sz w:val="17"/>
          <w:szCs w:val="17"/>
          <w:color w:val="auto"/>
        </w:rPr>
        <w:t>On May 1, 2017, we acquired WDTV-TV (CBS) and WVFX-TV (FOX/CW) in the Clarksburg-Weston, West Virginia television market (DMA 169) from Withers Broadcasting Company of West Virginia (the “Clarksburg Acquisition”) for $26.5 million. On June 1, 2016, we began operating these stations, subject to the control of the seller, under a local marketing agreement (“LMA”) that terminated upon completion of the acquisition.</w:t>
      </w:r>
    </w:p>
    <w:p>
      <w:pPr>
        <w:spacing w:after="0" w:line="166" w:lineRule="exact"/>
        <w:rPr>
          <w:sz w:val="20"/>
          <w:szCs w:val="20"/>
          <w:color w:val="auto"/>
        </w:rPr>
      </w:pPr>
    </w:p>
    <w:p>
      <w:pPr>
        <w:jc w:val="both"/>
        <w:ind w:right="80" w:firstLine="389"/>
        <w:spacing w:after="0" w:line="259" w:lineRule="auto"/>
        <w:rPr>
          <w:sz w:val="20"/>
          <w:szCs w:val="20"/>
          <w:color w:val="auto"/>
        </w:rPr>
      </w:pPr>
      <w:r>
        <w:rPr>
          <w:rFonts w:ascii="Arial" w:cs="Arial" w:eastAsia="Arial" w:hAnsi="Arial"/>
          <w:sz w:val="18"/>
          <w:szCs w:val="18"/>
          <w:color w:val="auto"/>
        </w:rPr>
        <w:t>On May 1, 2017, we acquired WABI-TV (CBS/CW) in the Bangor, Maine television market (DMA 156) and WCJB-TV (ABC/CW) in the Gainesville, Florida television market (DMA 161) from Community Broadcasting Service and Diversified Broadcasting, Inc. (collectively, the “Diversified Acquisition”) for $85.0 million. On April 1, 2017, we began operating these stations, subject to the control of the seller, under an LMA that terminated upon completion of the acquisition.</w:t>
      </w:r>
    </w:p>
    <w:p>
      <w:pPr>
        <w:spacing w:after="0" w:line="187" w:lineRule="exact"/>
        <w:rPr>
          <w:sz w:val="20"/>
          <w:szCs w:val="20"/>
          <w:color w:val="auto"/>
        </w:rPr>
      </w:pPr>
    </w:p>
    <w:p>
      <w:pPr>
        <w:ind w:right="140" w:firstLine="389"/>
        <w:spacing w:after="0" w:line="259" w:lineRule="auto"/>
        <w:rPr>
          <w:sz w:val="20"/>
          <w:szCs w:val="20"/>
          <w:color w:val="auto"/>
        </w:rPr>
      </w:pPr>
      <w:r>
        <w:rPr>
          <w:rFonts w:ascii="Arial" w:cs="Arial" w:eastAsia="Arial" w:hAnsi="Arial"/>
          <w:sz w:val="18"/>
          <w:szCs w:val="18"/>
          <w:color w:val="auto"/>
        </w:rPr>
        <w:t>On May 4, 2017, we announced that we have entered into an agreement to acquire WCAX-TV (CBS) in the Burlington, Vermont – Plattsburgh, New York television market (DMA 97) from Mt. Mansfield Television, Inc., (the “Vermont Acquisition”) for $29.0 million. On June 1, 2017, we began operating this station under an LMA, subject to the control of the seller. On August 1, 2017, we completed this acquisition through the use of cash on hand and the LMA was terminated.</w:t>
      </w:r>
    </w:p>
    <w:p>
      <w:pPr>
        <w:spacing w:after="0" w:line="187" w:lineRule="exact"/>
        <w:rPr>
          <w:sz w:val="20"/>
          <w:szCs w:val="20"/>
          <w:color w:val="auto"/>
        </w:rPr>
      </w:pPr>
    </w:p>
    <w:p>
      <w:pPr>
        <w:ind w:firstLine="389"/>
        <w:spacing w:after="0" w:line="259" w:lineRule="auto"/>
        <w:rPr>
          <w:sz w:val="20"/>
          <w:szCs w:val="20"/>
          <w:color w:val="auto"/>
        </w:rPr>
      </w:pPr>
      <w:r>
        <w:rPr>
          <w:rFonts w:ascii="Arial" w:cs="Arial" w:eastAsia="Arial" w:hAnsi="Arial"/>
          <w:sz w:val="18"/>
          <w:szCs w:val="18"/>
          <w:color w:val="auto"/>
        </w:rPr>
        <w:t>We refer to the seven stations acquired (excluding the stations acquired in the Clarksburg Acquisition) during the first six months of 2017 and the stations we commenced operating under an LMA during that period as the “2017 Acquisitions.” We refer to the 13 stations acquired in 2016, and that we retained in those acquisitions, including the stations in the Clarksburg Acquisition that we commenced operating under an LMA on June 1, 2016, as the “2016 Acquisitions.”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additional information regarding our recent acquisitions, see Note 1 “Basis of Presentation” and Note 2 “Acquisitions.”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Recent Financing Transactions</w:t>
      </w:r>
    </w:p>
    <w:p>
      <w:pPr>
        <w:spacing w:after="0" w:line="225"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On February 7, 2017, we entered into the 2017 Senior Credit Facility consisting of a $556.4 million term loan facility (the “2017 Initial Term Loan”) and a $100.0 million revolving credit facility (the “2017 Revolving Credit Facility”). Amounts outstanding under the 2017 Initial Term Loan were used to repay amounts outstanding under our prior term loan.</w:t>
      </w:r>
    </w:p>
    <w:p>
      <w:pPr>
        <w:spacing w:after="0" w:line="181"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On April 3, 2017, we borrowed $85.0 million under an incremental term loan (the “2017 Incremental Term Loan” and, together with the 2017 Initial Term Loan, the “2017 Term Loan”) under the 2017 Senior Credit Facility to fund the Diversified Acquisition. Our quarterly principal payments under the 2017 Term Loan are $1.6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 Seasonality and Advertising Concentrations</w:t>
      </w:r>
    </w:p>
    <w:p>
      <w:pPr>
        <w:spacing w:after="0" w:line="22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Broadcast stations like ours rely on advertising revenue, and, as a result, they are sensitive to cyclical changes in the economy. Our political advertising revenue is generally not as significantly affected by economic slowdowns or recessions as our non-political advertising revenue.</w:t>
      </w:r>
    </w:p>
    <w:p>
      <w:pPr>
        <w:spacing w:after="0" w:line="147" w:lineRule="exact"/>
        <w:rPr>
          <w:sz w:val="20"/>
          <w:szCs w:val="20"/>
          <w:color w:val="auto"/>
        </w:rPr>
      </w:pPr>
    </w:p>
    <w:p>
      <w:pPr>
        <w:ind w:right="80" w:firstLine="401"/>
        <w:spacing w:after="0" w:line="297" w:lineRule="auto"/>
        <w:rPr>
          <w:sz w:val="20"/>
          <w:szCs w:val="20"/>
          <w:color w:val="auto"/>
        </w:rPr>
      </w:pPr>
      <w:r>
        <w:rPr>
          <w:rFonts w:ascii="Arial" w:cs="Arial" w:eastAsia="Arial" w:hAnsi="Arial"/>
          <w:sz w:val="16"/>
          <w:szCs w:val="16"/>
          <w:color w:val="auto"/>
        </w:rPr>
        <w:t>Broadcast advertising revenue is generally highest in the second and fourth quarters each year. This seasonality results partly from increases in consumer advertising in the spring and retail advertising in the period leading up to and including the Christmas holiday season. Broadcast advertising revenue is also typically higher in even-numbered years due to spending by political candidates, political parties and special interest groups during the “on year” of the two-year political advertising cycle. This political advertising spending typically is heaviest during the fourth quarter. In addition, the broadcast of Olympic Games by our NBC-affiliated stations during even-numbered years generally leads to increased viewership and revenue during those years.</w:t>
      </w:r>
    </w:p>
    <w:p>
      <w:pPr>
        <w:spacing w:after="0" w:line="158" w:lineRule="exact"/>
        <w:rPr>
          <w:sz w:val="20"/>
          <w:szCs w:val="20"/>
          <w:color w:val="auto"/>
        </w:rPr>
      </w:pPr>
    </w:p>
    <w:p>
      <w:pPr>
        <w:ind w:firstLine="401"/>
        <w:spacing w:after="0" w:line="255" w:lineRule="auto"/>
        <w:rPr>
          <w:sz w:val="20"/>
          <w:szCs w:val="20"/>
          <w:color w:val="auto"/>
        </w:rPr>
      </w:pPr>
      <w:r>
        <w:rPr>
          <w:rFonts w:ascii="Arial" w:cs="Arial" w:eastAsia="Arial" w:hAnsi="Arial"/>
          <w:sz w:val="18"/>
          <w:szCs w:val="18"/>
          <w:color w:val="auto"/>
        </w:rPr>
        <w:t>For the six-month period ended June 30, 2017, excluding political advertising revenue, our largest advertising customer category was automotive. For each of the six-month periods ended June 30, 2017 and 2016, we earned approximately 25% and 23%, respectively, of our total broadcast advertising revenue, excluding political advertising revenue, from automotive customers. Our business and operating results could be materially adversely affected if advertising revenue from automotive customers were to decrease significantly. Our business and operating results could also be materially adversely affected if revenue decreased from one or more other significant advertising categories, such as the medical, restaurant, communications, furniture and appliances, entertainment, or financial service industries.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Please see our “Results of Operations” and “Liquidity and Capital Resources” sections below for further discussion of our operating results.</w:t>
      </w: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Set forth below are the principal types of revenue, less agency commissions, earned by us for the periods indicated and the percentage contribution of each type of revenue to our total revenue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8"/>
                <w:szCs w:val="18"/>
                <w:b w:val="1"/>
                <w:bCs w:val="1"/>
                <w:color w:val="auto"/>
              </w:rPr>
              <w:t>Three Months Ended June 30,</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b w:val="1"/>
                <w:bCs w:val="1"/>
                <w:color w:val="auto"/>
                <w:w w:val="90"/>
              </w:rPr>
              <w:t>Six Months Ended 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7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9"/>
              </w:rPr>
              <w:t>Percent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6"/>
              </w:rPr>
              <w:t>Percent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93"/>
              </w:rPr>
              <w:t>Percent</w:t>
            </w:r>
          </w:p>
        </w:tc>
        <w:tc>
          <w:tcPr>
            <w:tcW w:w="100" w:type="dxa"/>
            <w:vAlign w:val="bottom"/>
          </w:tcPr>
          <w:p>
            <w:pPr>
              <w:spacing w:after="0"/>
              <w:rPr>
                <w:sz w:val="16"/>
                <w:szCs w:val="16"/>
                <w:color w:val="auto"/>
              </w:rPr>
            </w:pP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4"/>
              </w:rPr>
              <w:t>Amount</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of Total</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1"/>
              </w:rPr>
              <w:t>Amount</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of Total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of Total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4"/>
              </w:rPr>
              <w:t>Amount</w:t>
            </w: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of Total</w:t>
            </w:r>
          </w:p>
        </w:tc>
        <w:tc>
          <w:tcPr>
            <w:tcW w:w="100" w:type="dxa"/>
            <w:vAlign w:val="bottom"/>
          </w:tcPr>
          <w:p>
            <w:pPr>
              <w:spacing w:after="0"/>
              <w:rPr>
                <w:sz w:val="20"/>
                <w:szCs w:val="20"/>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880" w:type="dxa"/>
            <w:vAlign w:val="bottom"/>
          </w:tcPr>
          <w:p>
            <w:pPr>
              <w:ind w:left="180"/>
              <w:spacing w:after="0" w:line="201" w:lineRule="exact"/>
              <w:rPr>
                <w:sz w:val="20"/>
                <w:szCs w:val="20"/>
                <w:color w:val="auto"/>
              </w:rPr>
            </w:pPr>
            <w:r>
              <w:rPr>
                <w:rFonts w:ascii="Arial" w:cs="Arial" w:eastAsia="Arial" w:hAnsi="Arial"/>
                <w:sz w:val="18"/>
                <w:szCs w:val="18"/>
                <w:color w:val="auto"/>
              </w:rPr>
              <w:t>Local (including internet/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80" w:type="dxa"/>
            <w:vAlign w:val="bottom"/>
          </w:tcPr>
          <w:p>
            <w:pPr>
              <w:ind w:left="340"/>
              <w:spacing w:after="0"/>
              <w:rPr>
                <w:sz w:val="20"/>
                <w:szCs w:val="20"/>
                <w:color w:val="auto"/>
              </w:rPr>
            </w:pPr>
            <w:r>
              <w:rPr>
                <w:rFonts w:ascii="Arial" w:cs="Arial" w:eastAsia="Arial" w:hAnsi="Arial"/>
                <w:sz w:val="18"/>
                <w:szCs w:val="18"/>
                <w:color w:val="auto"/>
              </w:rPr>
              <w:t>digital/mobile)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117,917</w:t>
            </w:r>
          </w:p>
        </w:tc>
        <w:tc>
          <w:tcPr>
            <w:tcW w:w="4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52.0%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104,727</w:t>
            </w:r>
          </w:p>
        </w:tc>
        <w:tc>
          <w:tcPr>
            <w:tcW w:w="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53.3%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220,514</w:t>
            </w: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51.3%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194,081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0"/>
                <w:szCs w:val="20"/>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National</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30,981</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26,070</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55,795</w:t>
            </w:r>
          </w:p>
        </w:tc>
        <w:tc>
          <w:tcPr>
            <w:tcW w:w="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48,149</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Political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9,649</w:t>
            </w:r>
          </w:p>
        </w:tc>
        <w:tc>
          <w:tcPr>
            <w:tcW w:w="4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5,029</w:t>
            </w: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19,304</w:t>
            </w:r>
          </w:p>
        </w:tc>
        <w:tc>
          <w:tcPr>
            <w:tcW w:w="4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Retransmission consent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69,371</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50,549</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136,944</w:t>
            </w:r>
          </w:p>
        </w:tc>
        <w:tc>
          <w:tcPr>
            <w:tcW w:w="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97,818</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5,638</w:t>
            </w:r>
          </w:p>
        </w:tc>
        <w:tc>
          <w:tcPr>
            <w:tcW w:w="4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11,860</w:t>
            </w: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11,004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50"/>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226,681</w:t>
            </w: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1"/>
              </w:rPr>
              <w:t>100.0%</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196,633</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430,142</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370,356</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100.0%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Compared to Three Months Ended June 30, 2016</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$30.0 million, or 15%, to $226.7 million in the 2017 three-month period from the 2016 three-month period. The 2017</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2016 Acquisitions collectively accounted for approximately $61.0 million of total revenue in the 2017 three-month period. The 2016 Acquisitions accounted for approximately $34.1 million of total revenue in the 2016 three-month period. In addition to the impact of the 2017 Acquisitions and the 2016 Acquisitions, total revenue at our legacy stations increased primarily due to retransmission consent revenue that increased by $9.8 million. Political advertising revenue at our legacy stations decreased by $6.4 million in the second quarter of 2017, resulting primarily from 2017 being the “off-year” of the two-year election cycle.</w:t>
      </w:r>
    </w:p>
    <w:p>
      <w:pPr>
        <w:spacing w:after="0" w:line="193"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i w:val="1"/>
          <w:iCs w:val="1"/>
          <w:color w:val="auto"/>
        </w:rPr>
        <w:t>Broadcast Expenses</w:t>
      </w:r>
      <w:r>
        <w:rPr>
          <w:rFonts w:ascii="Arial" w:cs="Arial" w:eastAsia="Arial" w:hAnsi="Arial"/>
          <w:sz w:val="16"/>
          <w:szCs w:val="16"/>
          <w:color w:val="auto"/>
        </w:rPr>
        <w:t>. Broadcast expenses (before depreciation, amortization and gain or loss on disposal of assets) increased $16.2 million, or 14%, to</w:t>
      </w:r>
      <w:r>
        <w:rPr>
          <w:rFonts w:ascii="Arial" w:cs="Arial" w:eastAsia="Arial" w:hAnsi="Arial"/>
          <w:sz w:val="16"/>
          <w:szCs w:val="16"/>
          <w:i w:val="1"/>
          <w:iCs w:val="1"/>
          <w:color w:val="auto"/>
        </w:rPr>
        <w:t xml:space="preserve"> </w:t>
      </w:r>
      <w:r>
        <w:rPr>
          <w:rFonts w:ascii="Arial" w:cs="Arial" w:eastAsia="Arial" w:hAnsi="Arial"/>
          <w:sz w:val="16"/>
          <w:szCs w:val="16"/>
          <w:color w:val="auto"/>
        </w:rPr>
        <w:t>$133.5 million in the 2017 three-month period due primarily to the 2017 Acquisitions and 2016 Acquisitions, which accounted for approximately $32.4 million of broadcast expenses in the 2017 three-month period. The 2016 Acquisitions accounted for approximately $20.9 million of our broadcast expenses in the 2016 three-month period. In addition to the impact of the 2017 Acquisitions and the 2016 Acquisitions, non-compensation expense at our legacy stations increased $5.6 million primarily as a result of a $5.3 million increase in retransmission expense, consistent with the increased retransmission consent revenue. Non-cash stock based compensation expenses were $0.4 million and $0.3 million in the 2017 and 2016 three-month periods, respectively.</w:t>
      </w:r>
    </w:p>
    <w:p>
      <w:pPr>
        <w:spacing w:after="0" w:line="165"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i w:val="1"/>
          <w:iCs w:val="1"/>
          <w:color w:val="auto"/>
        </w:rPr>
        <w:t>Corporate and Administrative Expenses</w:t>
      </w:r>
      <w:r>
        <w:rPr>
          <w:rFonts w:ascii="Arial" w:cs="Arial" w:eastAsia="Arial" w:hAnsi="Arial"/>
          <w:sz w:val="17"/>
          <w:szCs w:val="17"/>
          <w:color w:val="auto"/>
        </w:rPr>
        <w:t>. Corporate and administrative expenses (before depreciation, amortization and gain or loss on disposal of</w:t>
      </w:r>
      <w:r>
        <w:rPr>
          <w:rFonts w:ascii="Arial" w:cs="Arial" w:eastAsia="Arial" w:hAnsi="Arial"/>
          <w:sz w:val="17"/>
          <w:szCs w:val="17"/>
          <w:i w:val="1"/>
          <w:iCs w:val="1"/>
          <w:color w:val="auto"/>
        </w:rPr>
        <w:t xml:space="preserve"> </w:t>
      </w:r>
      <w:r>
        <w:rPr>
          <w:rFonts w:ascii="Arial" w:cs="Arial" w:eastAsia="Arial" w:hAnsi="Arial"/>
          <w:sz w:val="17"/>
          <w:szCs w:val="17"/>
          <w:color w:val="auto"/>
        </w:rPr>
        <w:t>assets) decreased slightly by $0.1 million, or 1%, to $8.4 million primarily as a result of decreases in incentive compensation expense. We recorded corporate non-cash stock-based compensation expense of $1.1 million and $1.0 million in the 2017 and 2016 three-month periods, respectively.</w:t>
      </w:r>
    </w:p>
    <w:p>
      <w:pPr>
        <w:spacing w:after="0" w:line="166" w:lineRule="exact"/>
        <w:rPr>
          <w:sz w:val="20"/>
          <w:szCs w:val="20"/>
          <w:color w:val="auto"/>
        </w:rPr>
      </w:pPr>
    </w:p>
    <w:p>
      <w:pPr>
        <w:ind w:right="20" w:firstLine="401"/>
        <w:spacing w:after="0" w:line="264"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of property and equipment totaled $12.8 million and $11.6 million for the 2017 three-month period and the 2016 three-month period, respectively. Depreciation increased primarily due to the addition of depreciable assets acquired as a part of the 2017 Acquisitions and the 2016 Acquisitions.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ind w:right="40" w:firstLine="389"/>
        <w:spacing w:after="0" w:line="264" w:lineRule="auto"/>
        <w:rPr>
          <w:sz w:val="20"/>
          <w:szCs w:val="20"/>
          <w:color w:val="auto"/>
        </w:rPr>
      </w:pPr>
      <w:r>
        <w:rPr>
          <w:rFonts w:ascii="Arial" w:cs="Arial" w:eastAsia="Arial" w:hAnsi="Arial"/>
          <w:sz w:val="18"/>
          <w:szCs w:val="18"/>
          <w:i w:val="1"/>
          <w:iCs w:val="1"/>
          <w:color w:val="auto"/>
        </w:rPr>
        <w:t>Amortization</w:t>
      </w:r>
      <w:r>
        <w:rPr>
          <w:rFonts w:ascii="Arial" w:cs="Arial" w:eastAsia="Arial" w:hAnsi="Arial"/>
          <w:sz w:val="18"/>
          <w:szCs w:val="18"/>
          <w:color w:val="auto"/>
        </w:rPr>
        <w:t>. Amortization of intangible assets increased $2.4 million, or 57%, to $6.7 million in the 2017 three-month period compared to the 2016</w:t>
      </w:r>
      <w:r>
        <w:rPr>
          <w:rFonts w:ascii="Arial" w:cs="Arial" w:eastAsia="Arial" w:hAnsi="Arial"/>
          <w:sz w:val="18"/>
          <w:szCs w:val="18"/>
          <w:i w:val="1"/>
          <w:iCs w:val="1"/>
          <w:color w:val="auto"/>
        </w:rPr>
        <w:t xml:space="preserve"> </w:t>
      </w:r>
      <w:r>
        <w:rPr>
          <w:rFonts w:ascii="Arial" w:cs="Arial" w:eastAsia="Arial" w:hAnsi="Arial"/>
          <w:sz w:val="18"/>
          <w:szCs w:val="18"/>
          <w:color w:val="auto"/>
        </w:rPr>
        <w:t>three-month period. Amortization increased primarily due to the additional definite-lived intangible assets acquired as a part of the 2017 Acquisitions and the 2016 Acquisitions.</w:t>
      </w:r>
    </w:p>
    <w:p>
      <w:pPr>
        <w:spacing w:after="0" w:line="181" w:lineRule="exact"/>
        <w:rPr>
          <w:sz w:val="20"/>
          <w:szCs w:val="20"/>
          <w:color w:val="auto"/>
        </w:rPr>
      </w:pPr>
    </w:p>
    <w:p>
      <w:pPr>
        <w:ind w:firstLine="389"/>
        <w:spacing w:after="0" w:line="259" w:lineRule="auto"/>
        <w:rPr>
          <w:sz w:val="20"/>
          <w:szCs w:val="20"/>
          <w:color w:val="auto"/>
        </w:rPr>
      </w:pPr>
      <w:r>
        <w:rPr>
          <w:rFonts w:ascii="Arial" w:cs="Arial" w:eastAsia="Arial" w:hAnsi="Arial"/>
          <w:sz w:val="18"/>
          <w:szCs w:val="18"/>
          <w:i w:val="1"/>
          <w:iCs w:val="1"/>
          <w:color w:val="auto"/>
        </w:rPr>
        <w:t xml:space="preserve">(Gain) loss on disposals of assets, net. </w:t>
      </w:r>
      <w:r>
        <w:rPr>
          <w:rFonts w:ascii="Arial" w:cs="Arial" w:eastAsia="Arial" w:hAnsi="Arial"/>
          <w:sz w:val="18"/>
          <w:szCs w:val="18"/>
          <w:color w:val="auto"/>
        </w:rPr>
        <w:t>We reported a gain on disposal of assets of $77.3 million in the 2017 three-month period and a loss on disposal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of $1.2 million in the 2016 three-month period. On June 1, 2017 we tendered two of our broadcast licenses and made other modifications to our broadcast spectrum related to our participation in the FCC’s broadcast spectrum auction. Our proceeds from this auction were $90.8 million and the cost of the assets disposed was $13.1 million.</w:t>
      </w:r>
    </w:p>
    <w:p>
      <w:pPr>
        <w:spacing w:after="0" w:line="18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decreased $0.5 million, or 2%, to $23.8 million for the 2017 three-month period compared to the 2016 three-month</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This decrease was attributable to the net effect of an increase in the average borrowings outstanding, offset by a decrease in our average interest rates. The average interest rate on our total outstanding debt balance was 4.9% and 5.7% during the 2017 three-month period and the 2016 three-month period, respectively. Our average outstanding debt balance was $1.9 billion and $1.5 billion during the 2017 three-month period and the 2016 three-month period, respectively, with the increase primarily attributable to the borrowings to finance the 2017 Acquisitions and 2016 Acquisitions.</w:t>
      </w:r>
    </w:p>
    <w:p>
      <w:pPr>
        <w:spacing w:after="0" w:line="158" w:lineRule="exact"/>
        <w:rPr>
          <w:sz w:val="20"/>
          <w:szCs w:val="20"/>
          <w:color w:val="auto"/>
        </w:rPr>
      </w:pPr>
    </w:p>
    <w:p>
      <w:pPr>
        <w:ind w:right="40" w:firstLine="401"/>
        <w:spacing w:after="0" w:line="29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We recognized income tax expense of $47.9 million and $11.9 million in the 2017 three-month period and the 2016 three-month</w:t>
      </w:r>
      <w:r>
        <w:rPr>
          <w:rFonts w:ascii="Arial" w:cs="Arial" w:eastAsia="Arial" w:hAnsi="Arial"/>
          <w:sz w:val="16"/>
          <w:szCs w:val="16"/>
          <w:i w:val="1"/>
          <w:iCs w:val="1"/>
          <w:color w:val="auto"/>
        </w:rPr>
        <w:t xml:space="preserve"> </w:t>
      </w:r>
      <w:r>
        <w:rPr>
          <w:rFonts w:ascii="Arial" w:cs="Arial" w:eastAsia="Arial" w:hAnsi="Arial"/>
          <w:sz w:val="16"/>
          <w:szCs w:val="16"/>
          <w:color w:val="auto"/>
        </w:rPr>
        <w:t>period, respectively. For the 2017 three-month period and the 2016 three-month period, our effective income tax rates were 40.4% and 40.2%, respectively. We estimate our differences between taxable income or loss and recorded income or loss on an annual basis. Our tax provision for each interim period is based upon these full year projections that are revised each reporting period. These projections incorporate estimates of permanent differences between U.S. GAAP income or loss and taxable income or loss, state income taxes and adjustments to our liability for unrecognized tax benefits. For the 2017 three-month period, these estimates increased or decreased our statutory Federal income tax rate of 35.0% to our effective income tax rate of 40.4% as follows: state income taxes added 4.2% and permanent differences between our U.S. GAAP income and taxable income added 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Compared to Six Months Ended June 30, 2016</w:t>
      </w:r>
    </w:p>
    <w:p>
      <w:pPr>
        <w:spacing w:after="0" w:line="225"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$59.8 million, or 16%, to $430.1 million in the 2017 six-month period compared to the 2016 six-month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2017 Acquisitions and 2016 Acquisitions collectively accounted for approximately $108.5 million of total revenue in the 2017 six-month period. The 2016 Acquisitions accounted for approximately $50.7 million of total revenue in the 2016 six-month period. In addition to the impact of the 2017 Acquisitions and the 2016 Acquisitions, total revenue at our legacy stations increased primarily due to retransmission consent revenue that increased by $18.9 million. Political advertising revenue at our legacy stations decreased by $14.7 million in the first six months of 2017, resulting primarily from 2017 being the “off-year” of the two-year election cycle.</w:t>
      </w:r>
    </w:p>
    <w:p>
      <w:pPr>
        <w:spacing w:after="0" w:line="193" w:lineRule="exact"/>
        <w:rPr>
          <w:sz w:val="20"/>
          <w:szCs w:val="20"/>
          <w:color w:val="auto"/>
        </w:rPr>
      </w:pPr>
    </w:p>
    <w:p>
      <w:pPr>
        <w:jc w:val="both"/>
        <w:ind w:right="60" w:firstLine="401"/>
        <w:spacing w:after="0" w:line="286" w:lineRule="auto"/>
        <w:rPr>
          <w:sz w:val="20"/>
          <w:szCs w:val="20"/>
          <w:color w:val="auto"/>
        </w:rPr>
      </w:pPr>
      <w:r>
        <w:rPr>
          <w:rFonts w:ascii="Arial" w:cs="Arial" w:eastAsia="Arial" w:hAnsi="Arial"/>
          <w:sz w:val="17"/>
          <w:szCs w:val="17"/>
          <w:color w:val="auto"/>
        </w:rPr>
        <w:t>Excluding the revenue contributed by the 2017 Acquisitions and 2016 Acquisitions, local and national advertising revenue declined, in part, as a result of the impact of the broadcast of the 2017 Super Bowl on our FOX-affiliated stations generating approximately $0.6 million of local and national advertising revenue, compared to $1.6 million that we earned from the broadcast of the 2016 Super Bowl on our CBS-affiliated stations.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Broadcast Expenses</w:t>
      </w:r>
      <w:r>
        <w:rPr>
          <w:rFonts w:ascii="Arial" w:cs="Arial" w:eastAsia="Arial" w:hAnsi="Arial"/>
          <w:sz w:val="16"/>
          <w:szCs w:val="16"/>
          <w:color w:val="auto"/>
        </w:rPr>
        <w:t>. Broadcast expenses (before depreciation, amortization and loss (gain) on disposal of assets) increased $41.1 million, or 18%,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$267.0 million in the 2017 six-month period due primarily to the 2017 Acquisitions and 2016 Acquisitions, which accounted for approximately $60.2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broadcast expenses in the 2017 six-month period. The 2016 Acquisitions accounted for approximately $31.7 million of our broadcast expenses in the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six-month period. In addition to the impact of the 2017 Acquisitions and the 2016 Acquisitions, non-compensation expense at our legacy stations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 million primarily as a result of a $10.4 million increase in retransmission expense, consistent with the increased retransmission consent revenue,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 million of professional fees. Non-cash stock based compensation expenses were $0.7 million and $0.6 million in the 2017 and 2016 six-month periods,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5" w:name="page26"/>
    <w:bookmarkEnd w:id="25"/>
    <w:p>
      <w:pPr>
        <w:ind w:left="420"/>
        <w:spacing w:after="0"/>
        <w:rPr>
          <w:sz w:val="20"/>
          <w:szCs w:val="20"/>
          <w:color w:val="auto"/>
        </w:rPr>
      </w:pPr>
      <w:r>
        <w:rPr>
          <w:rFonts w:ascii="Arial" w:cs="Arial" w:eastAsia="Arial" w:hAnsi="Arial"/>
          <w:sz w:val="16"/>
          <w:szCs w:val="16"/>
          <w:i w:val="1"/>
          <w:iCs w:val="1"/>
          <w:color w:val="auto"/>
        </w:rPr>
        <w:t>Corporate and Administrative Expenses</w:t>
      </w:r>
      <w:r>
        <w:rPr>
          <w:rFonts w:ascii="Arial" w:cs="Arial" w:eastAsia="Arial" w:hAnsi="Arial"/>
          <w:sz w:val="16"/>
          <w:szCs w:val="16"/>
          <w:color w:val="auto"/>
        </w:rPr>
        <w:t>. Corporate and administrative expenses (before depreciation, amortization and loss (gain) on disposal of assets)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decreased $8.1 million, or 33%, to $16.1 million in the 2017 six-month period compared to the 2016 six-month period primarily as a result of decreases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 million in professional fees related to acquisitions and to decreases of $1.0 million in incentive compensation expenses. We recorded corporate non-cash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of $2.1 million and $1.9 million in the 2017 and 2016 six-month periods, respectively.</w:t>
      </w:r>
    </w:p>
    <w:p>
      <w:pPr>
        <w:spacing w:after="0" w:line="211" w:lineRule="exact"/>
        <w:rPr>
          <w:sz w:val="20"/>
          <w:szCs w:val="20"/>
          <w:color w:val="auto"/>
        </w:rPr>
      </w:pPr>
    </w:p>
    <w:p>
      <w:pPr>
        <w:ind w:right="260" w:firstLine="389"/>
        <w:spacing w:after="0" w:line="264"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of property and equipment totaled $25.5 million and $22.7 million for the 2017 six-month period and the 2016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respectively. Depreciation increased primarily due to the addition of depreciable assets acquired as a part of the 2017 Acquisitions and 2016 Acquisitions.</w:t>
      </w:r>
    </w:p>
    <w:p>
      <w:pPr>
        <w:spacing w:after="0" w:line="181" w:lineRule="exact"/>
        <w:rPr>
          <w:sz w:val="20"/>
          <w:szCs w:val="20"/>
          <w:color w:val="auto"/>
        </w:rPr>
      </w:pPr>
    </w:p>
    <w:p>
      <w:pPr>
        <w:ind w:right="20" w:firstLine="389"/>
        <w:spacing w:after="0" w:line="264" w:lineRule="auto"/>
        <w:rPr>
          <w:sz w:val="20"/>
          <w:szCs w:val="20"/>
          <w:color w:val="auto"/>
        </w:rPr>
      </w:pPr>
      <w:r>
        <w:rPr>
          <w:rFonts w:ascii="Arial" w:cs="Arial" w:eastAsia="Arial" w:hAnsi="Arial"/>
          <w:sz w:val="18"/>
          <w:szCs w:val="18"/>
          <w:i w:val="1"/>
          <w:iCs w:val="1"/>
          <w:color w:val="auto"/>
        </w:rPr>
        <w:t>Amortization</w:t>
      </w:r>
      <w:r>
        <w:rPr>
          <w:rFonts w:ascii="Arial" w:cs="Arial" w:eastAsia="Arial" w:hAnsi="Arial"/>
          <w:sz w:val="18"/>
          <w:szCs w:val="18"/>
          <w:color w:val="auto"/>
        </w:rPr>
        <w:t>. Amortization of intangible assets increased $4.1 million, or 50%, to $12.2 million in the 2017 six-month period compared to the 2016 six-month period. Amortization expense increased primarily due to the additional definite-lived intangible assets acquired as a part of the 2017 Acquisitions and 2016 Acquisitions.</w:t>
      </w:r>
    </w:p>
    <w:p>
      <w:pPr>
        <w:spacing w:after="0" w:line="181" w:lineRule="exact"/>
        <w:rPr>
          <w:sz w:val="20"/>
          <w:szCs w:val="20"/>
          <w:color w:val="auto"/>
        </w:rPr>
      </w:pPr>
    </w:p>
    <w:p>
      <w:pPr>
        <w:jc w:val="both"/>
        <w:ind w:firstLine="389"/>
        <w:spacing w:after="0" w:line="312" w:lineRule="auto"/>
        <w:rPr>
          <w:sz w:val="20"/>
          <w:szCs w:val="20"/>
          <w:color w:val="auto"/>
        </w:rPr>
      </w:pPr>
      <w:r>
        <w:rPr>
          <w:rFonts w:ascii="Arial" w:cs="Arial" w:eastAsia="Arial" w:hAnsi="Arial"/>
          <w:sz w:val="16"/>
          <w:szCs w:val="16"/>
          <w:i w:val="1"/>
          <w:iCs w:val="1"/>
          <w:color w:val="auto"/>
        </w:rPr>
        <w:t xml:space="preserve">Gain on disposals of assets, net. </w:t>
      </w:r>
      <w:r>
        <w:rPr>
          <w:rFonts w:ascii="Arial" w:cs="Arial" w:eastAsia="Arial" w:hAnsi="Arial"/>
          <w:sz w:val="16"/>
          <w:szCs w:val="16"/>
          <w:color w:val="auto"/>
        </w:rPr>
        <w:t>We reported gains on disposals of assets of $76.8 million in the 2017 six-month period and $0.4 million in the 2016 six-month period. On June 1, 2017, we tendered two of our broadcast licenses and made other modifications to our broadcast spectrum related to our participation in the FCC’s broadcast spectrum auction. Our proceeds from this auction were $90.8 million and the cost of the assets disposed was $13.1 million.</w:t>
      </w:r>
    </w:p>
    <w:p>
      <w:pPr>
        <w:spacing w:after="0" w:line="147" w:lineRule="exact"/>
        <w:rPr>
          <w:sz w:val="20"/>
          <w:szCs w:val="20"/>
          <w:color w:val="auto"/>
        </w:rPr>
      </w:pPr>
    </w:p>
    <w:p>
      <w:pPr>
        <w:ind w:firstLine="389"/>
        <w:spacing w:after="0" w:line="27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$1.4 million, or 3%, to $47.0 million for the 2017 six-month period compared to the 2016 six-month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This was attributable to the net effect of an increase in the average borrowings outstanding offset by a decrease in our average interest rates. The average interest rate on our total outstanding debt balance was 4.9% and 5.6% during the 2017 six-month period and the 2016 six-month period, respectively. Our average outstanding debt balance was $1.8 billion and $1.5 billion during the 2017 six-month period and the 2016 six-month period, respectively, with the increase primarily attributable to the borrowings to finance the 2017 Acquisitions and 2016 Acquisitions.</w:t>
      </w:r>
    </w:p>
    <w:p>
      <w:pPr>
        <w:spacing w:after="0" w:line="173"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i w:val="1"/>
          <w:iCs w:val="1"/>
          <w:color w:val="auto"/>
        </w:rPr>
        <w:t xml:space="preserve">Loss from Early Extinguishment of Debt. </w:t>
      </w:r>
      <w:r>
        <w:rPr>
          <w:rFonts w:ascii="Arial" w:cs="Arial" w:eastAsia="Arial" w:hAnsi="Arial"/>
          <w:sz w:val="18"/>
          <w:szCs w:val="18"/>
          <w:color w:val="auto"/>
        </w:rPr>
        <w:t>In the 2017 six-month period, we recorded a loss from early extinguishment of debt of approximately $2.9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a result of entering into our 2017 Senior Credit Facility.</w:t>
      </w:r>
    </w:p>
    <w:p>
      <w:pPr>
        <w:spacing w:after="0" w:line="170" w:lineRule="exact"/>
        <w:rPr>
          <w:sz w:val="20"/>
          <w:szCs w:val="20"/>
          <w:color w:val="auto"/>
        </w:rPr>
      </w:pPr>
    </w:p>
    <w:p>
      <w:pPr>
        <w:ind w:firstLine="389"/>
        <w:spacing w:after="0" w:line="270"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We recognized income tax expense of $55.2 million and $18.3 million in the 2017 six-month period and the 2016 six-month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For the 2017 six-month period and the 2016 six-month period, our effective income tax rate was 40.5% and 40.7%, respectively. The primary reason for the increase in our income tax expense was the increase in our pre-tax income in the 2017 six-month period compared to the 2016 six-month period. We estimate our differences between taxable income or loss and recorded income or loss on an annual basis. Our tax provision for each interim period is based upon these full year projections that are revised each reporting period. These projections incorporate estimates of permanent differences between U.S. GAAP income or loss and taxable income or loss, state income taxes and adjustments to our liability for unrecognized tax benefits. For the 2017 six-month period, these estimates increased or decreased our statutory Federal income tax rate of 35.0% to our effective income tax rate of 40.5% as follows: state income taxes added 4.3%, permanent differences between our U.S. GAAP income and taxable income added 1.3%, and a discrete share-based compensation adjustment resulted in a reduction of 0.1%.</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data that we believe is helpful in evaluating our liquidity and capital resources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10"/>
        </w:trPr>
        <w:tc>
          <w:tcPr>
            <w:tcW w:w="8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45,475</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(413,217)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(448,437)</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481,989</w:t>
            </w:r>
          </w:p>
        </w:tc>
      </w:tr>
      <w:tr>
        <w:trPr>
          <w:trHeight w:val="20"/>
        </w:trPr>
        <w:tc>
          <w:tcPr>
            <w:tcW w:w="8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Increase (decrease) in 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(282,829)</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79,027</w:t>
            </w:r>
          </w:p>
        </w:tc>
      </w:tr>
      <w:tr>
        <w:trPr>
          <w:trHeight w:val="20"/>
        </w:trPr>
        <w:tc>
          <w:tcPr>
            <w:tcW w:w="8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1240"/>
              <w:spacing w:after="0"/>
              <w:rPr>
                <w:sz w:val="20"/>
                <w:szCs w:val="20"/>
                <w:color w:val="auto"/>
              </w:rPr>
            </w:pPr>
            <w:r>
              <w:rPr>
                <w:rFonts w:ascii="Arial" w:cs="Arial" w:eastAsia="Arial" w:hAnsi="Arial"/>
                <w:sz w:val="18"/>
                <w:szCs w:val="18"/>
                <w:b w:val="1"/>
                <w:bCs w:val="1"/>
                <w:color w:val="auto"/>
              </w:rPr>
              <w:t>As of</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June 30, 2017</w:t>
            </w: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 2016</w:t>
            </w:r>
          </w:p>
        </w:tc>
        <w:tc>
          <w:tcPr>
            <w:tcW w:w="100" w:type="dxa"/>
            <w:vAlign w:val="bottom"/>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9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325,189</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1,838,614</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1,756,747</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Borrowing availability under the Revolving Credit Facility</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r>
    </w:tbl>
    <w:p>
      <w:pPr>
        <w:spacing w:after="0" w:line="256"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2017 Senior Credit Facility consists of the 2017 Revolving Credit Facility and the 2017 Term Loan. Excluding accrued interest, the amount outstanding under our 2017 Senior Credit Facility as of June 30, 2017 and the 2014 Senior Credit Facility as of December 31, 2016 consisted solely of a term loan totaling $638.4 million and $556.4 million, respectively. On April 3, 2017, we borrowed $85.0 million under the 2017 Incremental Term Loan. Our maximum borrowing availability under our 2017 Revolving Credit Facility is limited by our required compliance with certain restrictive covenants, including a first lien net leverage ratio covenant.</w:t>
      </w:r>
    </w:p>
    <w:p>
      <w:pPr>
        <w:spacing w:after="0" w:line="18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As of June 30, 2017, the interest rate on the balance outstanding under the 2017 Senior Credit Facility was 3.6%. As of December 31, 2016, the interest rate on the balance outstanding under the 2014 Senior Credit Facility was 3.9%.</w:t>
      </w:r>
    </w:p>
    <w:p>
      <w:pPr>
        <w:spacing w:after="0" w:line="170"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2017 Term Loan borrowings bear interest, at our option, of either LIBOR plus an applicable margin or the Base Rate (as defined below) plus an applicable margin. Until our results of operations for the quarter ending September 30, 2017 have been certified, the applicable margin will be 2.50% for all LIBOR borrowings and 1.50% for all Base Rate borrowings (the “Initial Applicable Margin”). Thereafter, (i) if the leverage ratio as set forth in the 2017 Senior Credit Facility (the “Leverage Ratio”) is less than or equal to 5.25 to 1.00, the applicable margin will be 2.25% for all LIBOR borrowings and 1.25% for all Base Rate borrowings and (ii) if the Leverage Ratio is greater than 5.25 to 1.00, the Initial Applicable Margin will apply.</w:t>
      </w:r>
    </w:p>
    <w:p>
      <w:pPr>
        <w:spacing w:after="0" w:line="17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Borrowings under the 2017 Revolving Credit Facility bear interest, at our option, based on LIBOR plus 1.50% to 2.00% or the Base Rate plus 0.50% to 1.00%, in each case based on a first lien leverage ratio test as set forth in the 2017 Senior Credit Facility (the “First Lien Leverage Ratio”). Base Rate is defined as the greatest of (i) the administrative agent’s prime rate, (ii) the overnight federal funds rate plus 0.50% and (iii) LIBOR plus 1.00%. We are required to pay a commitment fee on the average daily unused portion of the 2017 Revolving Credit Facility, which rate may range from 0.375% to 0.50% on an annual basis, based on the First Lien Leverage Ratio.</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2017 Revolving Credit Facility matures on February 7, 2022, and the 2017 Term Loan matures on February 7, 2024.</w:t>
      </w:r>
    </w:p>
    <w:p>
      <w:pPr>
        <w:spacing w:after="0" w:line="225" w:lineRule="exact"/>
        <w:rPr>
          <w:sz w:val="20"/>
          <w:szCs w:val="20"/>
          <w:color w:val="auto"/>
        </w:rPr>
      </w:pPr>
    </w:p>
    <w:p>
      <w:pPr>
        <w:jc w:val="both"/>
        <w:ind w:right="120" w:firstLine="440"/>
        <w:spacing w:after="0" w:line="312" w:lineRule="auto"/>
        <w:rPr>
          <w:sz w:val="20"/>
          <w:szCs w:val="20"/>
          <w:color w:val="auto"/>
        </w:rPr>
      </w:pPr>
      <w:r>
        <w:rPr>
          <w:rFonts w:ascii="Arial" w:cs="Arial" w:eastAsia="Arial" w:hAnsi="Arial"/>
          <w:sz w:val="16"/>
          <w:szCs w:val="16"/>
          <w:color w:val="auto"/>
        </w:rPr>
        <w:t>As a result of the amendment and restatement of our prior senior credit facility in the form of the 2017 Senior Credit Facility, we recorded a loss from early extinguishment of debt of approximately $2.9 million in the first six months of 2017, and we incurred approximately $5.0 million in deferred financing costs that will be amortized over the life of the 2017 Senior Credit Facility. Our quarterly principal payments under the 2017 Term Loan are $1.6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ind w:right="220" w:firstLine="389"/>
        <w:spacing w:after="0" w:line="264" w:lineRule="auto"/>
        <w:rPr>
          <w:sz w:val="20"/>
          <w:szCs w:val="20"/>
          <w:color w:val="auto"/>
        </w:rPr>
      </w:pPr>
      <w:r>
        <w:rPr>
          <w:rFonts w:ascii="Arial" w:cs="Arial" w:eastAsia="Arial" w:hAnsi="Arial"/>
          <w:sz w:val="18"/>
          <w:szCs w:val="18"/>
          <w:color w:val="auto"/>
        </w:rPr>
        <w:t>As of June 30, 2017 and December 31, 2016, we had $525.0 million of 2024 Notes outstanding. The interest rate and yield on the 2024 Notes were 5.125%. The 2024 Notes mature on October 15, 2024. Interest is payable semiannually, on April 15 and October 15 of each year, commencing on April 15, 2017.</w:t>
      </w:r>
    </w:p>
    <w:p>
      <w:pPr>
        <w:spacing w:after="0" w:line="181" w:lineRule="exact"/>
        <w:rPr>
          <w:sz w:val="20"/>
          <w:szCs w:val="20"/>
          <w:color w:val="auto"/>
        </w:rPr>
      </w:pPr>
    </w:p>
    <w:p>
      <w:pPr>
        <w:ind w:firstLine="389"/>
        <w:spacing w:after="0" w:line="272" w:lineRule="auto"/>
        <w:rPr>
          <w:sz w:val="20"/>
          <w:szCs w:val="20"/>
          <w:color w:val="auto"/>
        </w:rPr>
      </w:pPr>
      <w:r>
        <w:rPr>
          <w:rFonts w:ascii="Arial" w:cs="Arial" w:eastAsia="Arial" w:hAnsi="Arial"/>
          <w:sz w:val="17"/>
          <w:szCs w:val="17"/>
          <w:color w:val="auto"/>
        </w:rPr>
        <w:t>On June 14, 2016, we completed the private placement of $500.0 million of our 2026 Notes (the “Original 2026 Notes”), at par. On September 14, 2016, we completed the private placement of an additional $200.0 million of our 2026 Notes (the “Additional 2026 Notes”). The Additional 2026 Notes were issued at a price of 103.0%, resulting in aggregate gross proceeds of approximately $206.0 million, plus accrued and unpaid interest from and including June 14, 2016. As of June 30, 2017 and December 31, 2016, we had $700.0 million of 2026 Notes outstanding. The interest rate and yield on the Original 2026 Notes were each 5.875%. The interest rate and yield on the Additional 2026 Notes were 5.875% and 5.398%, respectively. The Additional 2026 Notes are an additional issuance of, rank equally with and form a single series with the Original 2026 Notes. The 2026 Notes mature on July 15, 2026. Interest is payable semiannually, on January 15 and July 15 of each year.</w:t>
      </w:r>
    </w:p>
    <w:p>
      <w:pPr>
        <w:spacing w:after="0" w:line="178"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obligations under the 2017 Senior Credit Facility are secured by substantially all of our and our consolidated subsidiaries' assets, excluding real estate. In addition, substantially all of our subsidiaries are joint and several guarantors of, and our ownership interests in those subsidiaries are pledged to collateralize, our obligations under the 2017 Senior Credit Facility. Gray Television, Inc. is a holding company with no material independent assets or operations. For all applicable periods, the 2024 Notes and 2026 Notes have been fully and unconditionally guaranteed, on a joint and several, senior unsecured basis, by substantially all of Gray Television, Inc.'s subsidiaries. Any subsidiaries of Gray Television, Inc. that do not gurantee the 2024 Notes and 2026 Notes are minor. As of June 30, 2017, there were no significant restrictions on the ability of Gray Television, Inc.'s subsidiaries to distribute cash to Gray or to any of the subsidiary guarantors.</w:t>
      </w:r>
    </w:p>
    <w:p>
      <w:pPr>
        <w:spacing w:after="0" w:line="18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2017 Senior Credit Facility contains affirmative and restrictive covenants with which we must comply, including: (a) limitations on additional indebtedness; (b) limitations on liens; (c) limitations on the sale of assets; (d) limitations on guarantees; (e) limitations on investments and acquisitions; (f) limitations on the payment of dividends and share repurchases; (g) limitations on mergers; and (h) maintenance of a first lien leverage ratio not to exceed certain maximum limits while any amount is outstanding under the revolving credit facility, as well as other customary covenants for credit facilities of this type. The 2026 Notes and 2024 Notes include covenants with which we must comply which are typical for borrowing transactions of their nature. As of June 30, 2017 and December 31, 2016, we were in compliance with all required covenants under all our debt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Operating, Investing and Financing Activities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cash provided by operating activities was $59.1 million in the 2017 six-month period compared to net cash provided by operating activities of $45.5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in the 2016 six-month period. The increase of $13.7 million in the 2017 six-month period was primarily the result of an increase in net income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$54.4 million; and an increase in non-cash expenses, primarily depreciation, amortization of intangible assets and deferred taxes of $44.5 million; offset by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of $76.4 million in gain on disposal of assets; and an increase in working capital accounts of $8.8 million. These changes are primarily due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impacts of the 2017 Acquisitions and the 2016 Acquisitions and the gain on disposal of assets resulting from the FCC Spectrum Auction.</w:t>
      </w:r>
    </w:p>
    <w:p>
      <w:pPr>
        <w:spacing w:after="0" w:line="211"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Net cash used in investing activities was $413.2 million in the 2017 six-month period compared to net cash used in investing activities of $448.4 million for the 2016 six-month period. The decrease was largely due to decreased use of cash for acquisition activity in the 2017 six-month period.</w:t>
      </w:r>
    </w:p>
    <w:p>
      <w:pPr>
        <w:spacing w:after="0" w:line="14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Net cash provided by financing activities was approximately $71.2 million in the 2017 six-month period compared to net cash provided by financing activities of $482.0 million in the 2016 six-month period. Net cash provided by financing activities in the 2017 six-month period was primarily due to borrowings of $85.0 million under 2017 Term Loan; reduced by $3.0 million of quarterly principal payments under the 2017 Term Loan; reduced by $5.0 million of deferred financing costs related to the 2017 Senior Credit Facility. Also in the 2017 six-month period we used $4.0 million to repurchase shares of our common stock and made $1.8 million of payments for taxes related to net share settlements of equity awards.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140" w:firstLine="401"/>
        <w:spacing w:after="0" w:line="277" w:lineRule="auto"/>
        <w:rPr>
          <w:sz w:val="20"/>
          <w:szCs w:val="20"/>
          <w:color w:val="auto"/>
        </w:rPr>
      </w:pPr>
      <w:r>
        <w:rPr>
          <w:rFonts w:ascii="Arial" w:cs="Arial" w:eastAsia="Arial" w:hAnsi="Arial"/>
          <w:sz w:val="18"/>
          <w:szCs w:val="18"/>
          <w:color w:val="auto"/>
        </w:rPr>
        <w:t>We have $6.4 million in debt principal payments due over the next twelve months. We estimate that we will make approximately $91.1 million in debt interest payments over the twelve months immediately following June 30, 2017.</w:t>
      </w:r>
    </w:p>
    <w:p>
      <w:pPr>
        <w:spacing w:after="0" w:line="170" w:lineRule="exact"/>
        <w:rPr>
          <w:sz w:val="20"/>
          <w:szCs w:val="20"/>
          <w:color w:val="auto"/>
        </w:rPr>
      </w:pPr>
    </w:p>
    <w:p>
      <w:pPr>
        <w:ind w:right="40" w:firstLine="401"/>
        <w:spacing w:after="0" w:line="272" w:lineRule="auto"/>
        <w:rPr>
          <w:sz w:val="20"/>
          <w:szCs w:val="20"/>
          <w:color w:val="auto"/>
        </w:rPr>
      </w:pPr>
      <w:r>
        <w:rPr>
          <w:rFonts w:ascii="Arial" w:cs="Arial" w:eastAsia="Arial" w:hAnsi="Arial"/>
          <w:sz w:val="17"/>
          <w:szCs w:val="17"/>
          <w:color w:val="auto"/>
        </w:rPr>
        <w:t>Although our cash flows from operations are subject to a number of risks and uncertainties, we anticipate that our cash on hand, future cash expected to be generated from operations, borrowings from time to time under the 2017 Senior Credit Facility (or any such other credit facility as may be in place at the appropriate time) and, potentially, external equity or debt financing, will be sufficient to fund any debt service obligations, estimated capital expenditures and acquisition-related obligations. Any potential equity or debt financing would depend upon, among other things, the costs and availability of such financing at the appropriate time. We also presently believe that our future cash expected to be generated from operations and borrowing availability under the 2017 Senior Credit Facility (or any such other credit facility) will be sufficient to fund our future capital expenditures and long-term debt service obligations until at least February 7, 2024, which is the maturity date of the term loans under the 2017 Senior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Capital expenditures in the 2017 and 2016 six-month periods were $10.4 million and $13.5 million, respectively. We anticipate that our capital expenditures for the remainder of 2017 will range between approximately $20.0 million and $24.5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FCC Spectrum Auction</w:t>
      </w:r>
    </w:p>
    <w:p>
      <w:pPr>
        <w:spacing w:after="0" w:line="225" w:lineRule="exact"/>
        <w:rPr>
          <w:sz w:val="20"/>
          <w:szCs w:val="20"/>
          <w:color w:val="auto"/>
        </w:rPr>
      </w:pPr>
    </w:p>
    <w:p>
      <w:pPr>
        <w:jc w:val="both"/>
        <w:ind w:right="140" w:firstLine="389"/>
        <w:spacing w:after="0" w:line="264" w:lineRule="auto"/>
        <w:rPr>
          <w:sz w:val="20"/>
          <w:szCs w:val="20"/>
          <w:color w:val="auto"/>
        </w:rPr>
      </w:pPr>
      <w:r>
        <w:rPr>
          <w:rFonts w:ascii="Arial" w:cs="Arial" w:eastAsia="Arial" w:hAnsi="Arial"/>
          <w:sz w:val="18"/>
          <w:szCs w:val="18"/>
          <w:color w:val="auto"/>
        </w:rPr>
        <w:t>As of June 30, 2017, we recorded a $90.8 million receivable resulting from our relinquishment of two licenses in the FCC’s Spectrum Auction. These proceeds were received on August 7, 2017. Due to prior planning in connection with this transaction, and our recently completed acquisitions, we anticipate that we will be able to defer any related income tax payments on a long-term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file a consolidated federal income tax return and such state and local tax returns as are required. As a result of our utilization of certain of our net operating loss carryforwards, we have begun, and expect to continue to pay more significant amounts of income taxes. During the 2017 six-month period, we made income tax payments (net of refunds) of $0.9 million. During the remainder of 2017, we anticipate making income tax payments (net of refunds) of approximately $1.0 million. Income tax payments are likely to be higher beginning in 2018, assuming no significant changes to the corporate tax code as currently in effect.</w:t>
      </w:r>
    </w:p>
    <w:p>
      <w:pPr>
        <w:spacing w:after="0" w:line="188" w:lineRule="exact"/>
        <w:rPr>
          <w:sz w:val="20"/>
          <w:szCs w:val="20"/>
          <w:color w:val="auto"/>
        </w:rPr>
      </w:pPr>
    </w:p>
    <w:p>
      <w:pPr>
        <w:ind w:right="140" w:firstLine="389"/>
        <w:spacing w:after="0" w:line="277" w:lineRule="auto"/>
        <w:rPr>
          <w:sz w:val="20"/>
          <w:szCs w:val="20"/>
          <w:color w:val="auto"/>
        </w:rPr>
      </w:pPr>
      <w:r>
        <w:rPr>
          <w:rFonts w:ascii="Arial" w:cs="Arial" w:eastAsia="Arial" w:hAnsi="Arial"/>
          <w:sz w:val="18"/>
          <w:szCs w:val="18"/>
          <w:color w:val="auto"/>
        </w:rPr>
        <w:t>During the six-months ended June 30, 2017, we contributed $0.6 million to our defined benefit pension plan. During the remainder of 2017, we expect to contribute $1.7 million to this pension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401"/>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judgments and estimations that affect the amounts reported in the financial statements and accompanying notes. Actual results could differ from those estimates. We consider our accounting policies relating to intangible assets and income taxes to be critical policies that require judgments or estimations in their application where variances in those judgments or estimations could make a significant difference to future reported results. These critical accounting policies and estimates are more fully discussed in our 2016 Form 10-K.</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00" w:firstLine="401"/>
        <w:spacing w:after="0" w:line="287" w:lineRule="auto"/>
        <w:rPr>
          <w:sz w:val="20"/>
          <w:szCs w:val="20"/>
          <w:color w:val="auto"/>
        </w:rPr>
      </w:pPr>
      <w:r>
        <w:rPr>
          <w:rFonts w:ascii="Arial" w:cs="Arial" w:eastAsia="Arial" w:hAnsi="Arial"/>
          <w:sz w:val="16"/>
          <w:szCs w:val="16"/>
          <w:color w:val="auto"/>
        </w:rPr>
        <w:t>This Quarterly Report on Form 10-Q (this “Quarterly Report”) contains “forward-looking statements” within the meaning of the Private Securities Litigation Reform Act of 1995, Section 27A of the Securities Act of 1933 and Section 21E of the Securities Exchange Act of 1934. Forward-looking statements are all statements other than those of historical fact. When used in this Quarterly Report, the words “believes,” “expects,” “anticipates,” “estimates,” “will,” “may,” “should” and similar words and expressions are generally intended to identify forward-looking statements. Among other things, statements that describe our expectations regarding our results of operations, general and industry-specific economic conditions, future pension plan contributions, future capital expenditures and the timing of receipt of proceeds from the FCC Spectrum Auction are forward-looking statements. Readers of this Quarterly Report are cautioned that any forward-looking statements, including those regarding the intent, belief or current expectations of our management, are not guarantees of future performance, results or events and involve risks and uncertainties, and that actual results and events may differ materially from those contained in the forward-looking statements as a result of various factors including, but not limited to, those listed under the heading “Risk Factors” in our 2016 Form 10-K and as may be described in subsequently filed quarterly reports on Form 10-Q, as well as the other factors described from time to time in our filings with the Securities and Exchange Commission. Forward-looking statements speak only as of the date they are made. We undertake no obligation to update such forward-looking statements to reflect subsequent events or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ind w:right="100" w:firstLine="401"/>
        <w:spacing w:after="0" w:line="277" w:lineRule="auto"/>
        <w:rPr>
          <w:sz w:val="20"/>
          <w:szCs w:val="20"/>
          <w:color w:val="auto"/>
        </w:rPr>
      </w:pPr>
      <w:r>
        <w:rPr>
          <w:rFonts w:ascii="Arial" w:cs="Arial" w:eastAsia="Arial" w:hAnsi="Arial"/>
          <w:sz w:val="18"/>
          <w:szCs w:val="18"/>
          <w:color w:val="auto"/>
        </w:rPr>
        <w:t>We believe that the market risk of our financial instruments as of June 30, 2017 has not materially changed since December 31, 2016. Our market risk profile on December 31, 2016 is disclosed in our 2016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401"/>
        <w:spacing w:after="0" w:line="270" w:lineRule="auto"/>
        <w:rPr>
          <w:sz w:val="20"/>
          <w:szCs w:val="20"/>
          <w:color w:val="auto"/>
        </w:rPr>
      </w:pPr>
      <w:r>
        <w:rPr>
          <w:rFonts w:ascii="Arial" w:cs="Arial" w:eastAsia="Arial" w:hAnsi="Arial"/>
          <w:sz w:val="17"/>
          <w:szCs w:val="17"/>
          <w:color w:val="auto"/>
        </w:rPr>
        <w:t>As of the end of the period covered by this Quarterly Report, an evaluation was carried out under the supervision and with the participation of management, including the Chief Executive Officer (“CEO”) and the Chief Financial Officer (“CFO”), of the effectiveness of our disclosure controls and procedures. Based on that evaluation, the CEO and the CFO have concluded that, as of the end of the period covered by this Quarterly Report, our disclosure controls and procedures are effective to ensure that information required to be disclosed by us in reports that we file or furnish under the Securities Exchange Act of 1934 is recorded, processed, summarized and reported within the time periods specified in Securities and Exchange Commission rules and forms, and to ensure that such information is accumulated and communicated to our management, including the CEO and CFO, as appropriate to allow timely decisions regarding required disclosures. No system of controls, no matter how well designed and implemented, can provide absolute assurance that the objectives of the system of controls are met and no evaluation of controls can provide absolute assurance that all control issues and instances of fraud, if any, within a company have been detected.</w:t>
      </w:r>
    </w:p>
    <w:p>
      <w:pPr>
        <w:spacing w:after="0" w:line="182"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three-month period ended June 30, 2017 identified in connection with this evaluation that have materially affected, or are reasonably likely to materially affect, our internal control over financial reporting.</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40" w:firstLine="389"/>
        <w:spacing w:after="0" w:line="259" w:lineRule="auto"/>
        <w:rPr>
          <w:sz w:val="20"/>
          <w:szCs w:val="20"/>
          <w:color w:val="auto"/>
        </w:rPr>
      </w:pPr>
      <w:r>
        <w:rPr>
          <w:rFonts w:ascii="Arial" w:cs="Arial" w:eastAsia="Arial" w:hAnsi="Arial"/>
          <w:sz w:val="18"/>
          <w:szCs w:val="18"/>
          <w:color w:val="auto"/>
        </w:rPr>
        <w:t>Please refer to the information set out under the heading “Risk Factors” in Part I, Item 1A in our 2016 Form 10-K for a description of risk factors that we determined to be most material to our financial condition and results of operations. We do not believe there have been any material changes in these risk factors. Additional risks not currently known to us or that we do not currently consider material may also materially adversely affect our financial condition and results of operations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Common Stock and Class A Common Stock</w:t>
      </w:r>
    </w:p>
    <w:p>
      <w:pPr>
        <w:spacing w:after="0" w:line="225" w:lineRule="exact"/>
        <w:rPr>
          <w:sz w:val="20"/>
          <w:szCs w:val="20"/>
          <w:color w:val="auto"/>
        </w:rPr>
      </w:pPr>
    </w:p>
    <w:p>
      <w:pPr>
        <w:ind w:right="100" w:firstLine="389"/>
        <w:spacing w:after="0" w:line="259" w:lineRule="auto"/>
        <w:rPr>
          <w:sz w:val="20"/>
          <w:szCs w:val="20"/>
          <w:color w:val="auto"/>
        </w:rPr>
      </w:pPr>
      <w:r>
        <w:rPr>
          <w:rFonts w:ascii="Arial" w:cs="Arial" w:eastAsia="Arial" w:hAnsi="Arial"/>
          <w:sz w:val="18"/>
          <w:szCs w:val="18"/>
          <w:color w:val="auto"/>
        </w:rPr>
        <w:t>In each of March and November 2004, the Board of Directors of the Company authorized the Company to repurchase up to 2.0 million shares of the Company's common stock or Class A common stock. In March 2006, this authorization was increased to an aggregate of 5.0 million shares (the “2004-2006 Repurchase Authorization”). As of December 31, 2016, 279,200 shares remain available for repurchase under this authorization, which has no expiration date.</w:t>
      </w:r>
    </w:p>
    <w:p>
      <w:pPr>
        <w:spacing w:after="0" w:line="187"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On November 6, 2016, the Board of Directors of the Company authorized the Company to purchase up to an additional $75.0 million of our outstanding common stock prior to December 31, 2019 (the “2016 Repurchase Authorization”).</w:t>
      </w:r>
    </w:p>
    <w:p>
      <w:pPr>
        <w:spacing w:after="0" w:line="170" w:lineRule="exact"/>
        <w:rPr>
          <w:sz w:val="20"/>
          <w:szCs w:val="20"/>
          <w:color w:val="auto"/>
        </w:rPr>
      </w:pPr>
    </w:p>
    <w:p>
      <w:pPr>
        <w:ind w:right="100" w:firstLine="389"/>
        <w:spacing w:after="0" w:line="312" w:lineRule="auto"/>
        <w:rPr>
          <w:sz w:val="20"/>
          <w:szCs w:val="20"/>
          <w:color w:val="auto"/>
        </w:rPr>
      </w:pPr>
      <w:r>
        <w:rPr>
          <w:rFonts w:ascii="Arial" w:cs="Arial" w:eastAsia="Arial" w:hAnsi="Arial"/>
          <w:sz w:val="16"/>
          <w:szCs w:val="16"/>
          <w:color w:val="auto"/>
        </w:rPr>
        <w:t>The extent to which the Company repurchases any of its shares, the number of shares and the timing of any repurchases will depend on general market conditions, regulatory requirements, alternative investment opportunities and other considerations. The Company is not required to repurchase a minimum number of shares, and the repurchase authorizations may be modified, suspended or terminated at any time without prior notice.</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repurchases of our common stock in the three-months ended June 30, 2017, all of which were pursuant to the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Repurchase Authorization:</w:t>
      </w:r>
    </w:p>
    <w:p>
      <w:pPr>
        <w:spacing w:after="0" w:line="200" w:lineRule="exact"/>
        <w:rPr>
          <w:sz w:val="20"/>
          <w:szCs w:val="20"/>
          <w:color w:val="auto"/>
        </w:rPr>
      </w:pPr>
    </w:p>
    <w:p>
      <w:pPr>
        <w:spacing w:after="0" w:line="33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(or appoximate</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that May Yet Be</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28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Price Paid</w:t>
            </w:r>
          </w:p>
        </w:tc>
        <w:tc>
          <w:tcPr>
            <w:tcW w:w="22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Shares</w:t>
            </w:r>
          </w:p>
        </w:tc>
        <w:tc>
          <w:tcPr>
            <w:tcW w:w="28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per Share</w:t>
            </w:r>
          </w:p>
        </w:tc>
        <w:tc>
          <w:tcPr>
            <w:tcW w:w="22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304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(2)</w:t>
            </w:r>
          </w:p>
        </w:tc>
        <w:tc>
          <w:tcPr>
            <w:tcW w:w="22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Programs (3)</w:t>
            </w:r>
          </w:p>
        </w:tc>
        <w:tc>
          <w:tcPr>
            <w:tcW w:w="100" w:type="dxa"/>
            <w:vAlign w:val="bottom"/>
          </w:tcPr>
          <w:p>
            <w:pPr>
              <w:spacing w:after="0"/>
              <w:rPr>
                <w:sz w:val="20"/>
                <w:szCs w:val="20"/>
                <w:color w:val="auto"/>
              </w:rPr>
            </w:pPr>
          </w:p>
        </w:tc>
      </w:tr>
      <w:tr>
        <w:trPr>
          <w:trHeight w:val="210"/>
        </w:trPr>
        <w:tc>
          <w:tcPr>
            <w:tcW w:w="30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60" w:type="dxa"/>
            <w:vAlign w:val="bottom"/>
            <w:gridSpan w:val="3"/>
          </w:tcPr>
          <w:p>
            <w:pPr>
              <w:spacing w:after="0"/>
              <w:rPr>
                <w:sz w:val="18"/>
                <w:szCs w:val="18"/>
                <w:color w:val="auto"/>
              </w:rPr>
            </w:pPr>
          </w:p>
        </w:tc>
        <w:tc>
          <w:tcPr>
            <w:tcW w:w="24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April 1, 2017 through April 30, 2017:</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75,962,495</w:t>
            </w:r>
          </w:p>
        </w:tc>
      </w:tr>
      <w:tr>
        <w:trPr>
          <w:trHeight w:val="216"/>
        </w:trPr>
        <w:tc>
          <w:tcPr>
            <w:tcW w:w="3040" w:type="dxa"/>
            <w:vAlign w:val="bottom"/>
          </w:tcPr>
          <w:p>
            <w:pPr>
              <w:spacing w:after="0"/>
              <w:rPr>
                <w:sz w:val="18"/>
                <w:szCs w:val="18"/>
                <w:color w:val="auto"/>
              </w:rPr>
            </w:pPr>
          </w:p>
        </w:tc>
        <w:tc>
          <w:tcPr>
            <w:tcW w:w="206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60" w:type="dxa"/>
            <w:vAlign w:val="bottom"/>
            <w:gridSpan w:val="3"/>
          </w:tcPr>
          <w:p>
            <w:pPr>
              <w:spacing w:after="0"/>
              <w:rPr>
                <w:sz w:val="18"/>
                <w:szCs w:val="18"/>
                <w:color w:val="auto"/>
              </w:rPr>
            </w:pPr>
          </w:p>
        </w:tc>
        <w:tc>
          <w:tcPr>
            <w:tcW w:w="24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May 1, 2017 through May 31, 2017:</w:t>
            </w:r>
          </w:p>
        </w:tc>
        <w:tc>
          <w:tcPr>
            <w:tcW w:w="2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299,507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299,507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72,903,165</w:t>
            </w:r>
          </w:p>
        </w:tc>
      </w:tr>
      <w:tr>
        <w:trPr>
          <w:trHeight w:val="216"/>
        </w:trPr>
        <w:tc>
          <w:tcPr>
            <w:tcW w:w="3040" w:type="dxa"/>
            <w:vAlign w:val="bottom"/>
          </w:tcPr>
          <w:p>
            <w:pPr>
              <w:spacing w:after="0"/>
              <w:rPr>
                <w:sz w:val="18"/>
                <w:szCs w:val="18"/>
                <w:color w:val="auto"/>
              </w:rPr>
            </w:pPr>
          </w:p>
        </w:tc>
        <w:tc>
          <w:tcPr>
            <w:tcW w:w="206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60" w:type="dxa"/>
            <w:vAlign w:val="bottom"/>
            <w:gridSpan w:val="3"/>
          </w:tcPr>
          <w:p>
            <w:pPr>
              <w:spacing w:after="0"/>
              <w:rPr>
                <w:sz w:val="18"/>
                <w:szCs w:val="18"/>
                <w:color w:val="auto"/>
              </w:rPr>
            </w:pPr>
          </w:p>
        </w:tc>
        <w:tc>
          <w:tcPr>
            <w:tcW w:w="24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June 1, 2017 through June 30, 2017:</w:t>
            </w:r>
          </w:p>
        </w:tc>
        <w:tc>
          <w:tcPr>
            <w:tcW w:w="2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22,531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22,531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72,709,249</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322,038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shares purchased were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excludes standard brokerage commissions.</w:t>
      </w:r>
    </w:p>
    <w:p>
      <w:pPr>
        <w:spacing w:after="0" w:line="225" w:lineRule="exact"/>
        <w:rPr>
          <w:rFonts w:ascii="Arial" w:cs="Arial" w:eastAsia="Arial" w:hAnsi="Arial"/>
          <w:sz w:val="18"/>
          <w:szCs w:val="18"/>
          <w:color w:val="auto"/>
        </w:rPr>
      </w:pPr>
    </w:p>
    <w:p>
      <w:pPr>
        <w:ind w:left="660" w:right="2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amounts presented at each respective month-end include the aggregate of the remaining dollar value available to purchase our common stock under the 2016 Repurchase Authorization and the weighted average dollar value available for repurchase of our Class A common stock or our common stock, under the 2004-2006 Repurchase Authorization.</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spacing w:after="0" w:line="245" w:lineRule="exact"/>
        <w:rPr>
          <w:sz w:val="20"/>
          <w:szCs w:val="20"/>
          <w:color w:val="auto"/>
        </w:rPr>
      </w:pPr>
    </w:p>
    <w:p>
      <w:pPr>
        <w:ind w:right="180" w:firstLine="389"/>
        <w:spacing w:after="0" w:line="257" w:lineRule="auto"/>
        <w:rPr>
          <w:sz w:val="20"/>
          <w:szCs w:val="20"/>
          <w:color w:val="auto"/>
        </w:rPr>
      </w:pPr>
      <w:r>
        <w:rPr>
          <w:rFonts w:ascii="Arial" w:cs="Arial" w:eastAsia="Arial" w:hAnsi="Arial"/>
          <w:sz w:val="18"/>
          <w:szCs w:val="18"/>
          <w:color w:val="auto"/>
        </w:rPr>
        <w:t>On August 7, 2017, the Board of Directors approved the Gray Television, Inc. Executive and Key Employee Change in Control Severance Plan (the “Plan”). Participants in the Plan are generally selected by the Compensation Committee of the Board of Directors (the “Compensation Committee”) and currently include the Company’s President and Chief Executive Officer (the “CEO”), the Executive Vice President and Chief Financial Officer, and the Executive Vice President, Chief Legal and Development Officer and Secretary (the latter two together, the “Other Named Executive Officers”), and certain other key employees.</w:t>
      </w:r>
    </w:p>
    <w:p>
      <w:pPr>
        <w:spacing w:after="0" w:line="188" w:lineRule="exact"/>
        <w:rPr>
          <w:sz w:val="20"/>
          <w:szCs w:val="20"/>
          <w:color w:val="auto"/>
        </w:rPr>
      </w:pPr>
    </w:p>
    <w:p>
      <w:pPr>
        <w:ind w:firstLine="389"/>
        <w:spacing w:after="0" w:line="269" w:lineRule="auto"/>
        <w:rPr>
          <w:sz w:val="20"/>
          <w:szCs w:val="20"/>
          <w:color w:val="auto"/>
        </w:rPr>
      </w:pPr>
      <w:r>
        <w:rPr>
          <w:rFonts w:ascii="Arial" w:cs="Arial" w:eastAsia="Arial" w:hAnsi="Arial"/>
          <w:sz w:val="17"/>
          <w:szCs w:val="17"/>
          <w:color w:val="auto"/>
        </w:rPr>
        <w:t>Under the Plan, a participant who, in connection with a change in control of the Company or within 24 months following a change in control, is involuntarily terminated without cause or voluntarily terminates his or her employment for good reason (a “qualifying termination”), would receive: (i) any unpaid base salary and payment for unused vacation under the Company’s vacation policy through the date of termination; (ii) a payment equal to the participant’s target annual cash incentive opportunity for the year in which the termination occurred, pro rated through the date of termination of such year; and (iii) a lump sum cash severance payment equal to a multiple (the “severance multiplier”) of the sum of the participant’s annual base salary on the termination date (or any higher annual base salary that was in effect during the 9-month period immediately prior to the change in control) and the participant’s target annual cash incentive opportunity in effect immediately prior to the change in control. The severance multiplier is 3.0 for the CEO, 2.0 for the Other Named Executive Officers and 1.0 for all other Plan participants. In addition to the foregoing, equity awards of a participant will immediately vest and become exercisable upon a qualifying termination, with performance-based equity award generally vesting at the target level. If the participant elects to continue group health care coverage under COBRA, the participant will also be reimbursed for the portion of the premiums that the Company would have paid if the participant had continued to be an employee of the Company for a period of years equal to the participant’s severance multiplier, or earlier in certain circumstances.</w:t>
      </w:r>
    </w:p>
    <w:p>
      <w:pPr>
        <w:spacing w:after="0" w:line="180" w:lineRule="exact"/>
        <w:rPr>
          <w:sz w:val="20"/>
          <w:szCs w:val="20"/>
          <w:color w:val="auto"/>
        </w:rPr>
      </w:pPr>
    </w:p>
    <w:p>
      <w:pPr>
        <w:ind w:firstLine="389"/>
        <w:spacing w:after="0" w:line="273" w:lineRule="auto"/>
        <w:rPr>
          <w:sz w:val="20"/>
          <w:szCs w:val="20"/>
          <w:color w:val="auto"/>
        </w:rPr>
      </w:pPr>
      <w:r>
        <w:rPr>
          <w:rFonts w:ascii="Arial" w:cs="Arial" w:eastAsia="Arial" w:hAnsi="Arial"/>
          <w:sz w:val="17"/>
          <w:szCs w:val="17"/>
          <w:color w:val="auto"/>
        </w:rPr>
        <w:t>Any payment under the Plan will be in lieu of any other severance or termination payment that may be due or become payable to a participant. In addition, the Plan provides that in the event that the severance and other benefits provided for in the Plan would be subject to the excise tax imposed by Section 4999 of the Internal Revenue Code, the benefits under the Plan will be either delivered in full, or delivered to a lesser extent which would result in no portion of the benefits being subject to such excise tax, whichever is more beneficial to the participant. The Plan does not provide excise tax gross-ups on payments to participants. Payments under the Plan are contingent upon a participant’s execution of a release of claims in favor of the Company and compliance by the terminated participant with the non-solicitation, non-competition and confidentiality covenants in the Plan.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980" w:hanging="971"/>
        <w:spacing w:after="0" w:line="25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Exhibit 10.1 </w:t>
      </w:r>
      <w:hyperlink w:anchor="page35">
        <w:r>
          <w:rPr>
            <w:rFonts w:ascii="Arial" w:cs="Arial" w:eastAsia="Arial" w:hAnsi="Arial"/>
            <w:sz w:val="18"/>
            <w:szCs w:val="18"/>
            <w:u w:val="single" w:color="auto"/>
            <w:color w:val="0000EE"/>
          </w:rPr>
          <w:t>First Amendment and Incremental Facility Agreement, dated as of April 3, 2017, by and among Gray Television, Inc., as Borrower, the lenders</w:t>
        </w:r>
      </w:hyperlink>
      <w:r>
        <w:rPr>
          <w:rFonts w:ascii="Arial" w:cs="Arial" w:eastAsia="Arial" w:hAnsi="Arial"/>
          <w:sz w:val="18"/>
          <w:szCs w:val="18"/>
          <w:color w:val="auto"/>
        </w:rPr>
        <w:t xml:space="preserve"> </w:t>
      </w:r>
      <w:hyperlink w:anchor="page35">
        <w:r>
          <w:rPr>
            <w:rFonts w:ascii="Arial" w:cs="Arial" w:eastAsia="Arial" w:hAnsi="Arial"/>
            <w:sz w:val="18"/>
            <w:szCs w:val="18"/>
            <w:u w:val="single" w:color="auto"/>
            <w:color w:val="0000EE"/>
          </w:rPr>
          <w:t>party thereto, Wells Fargo Bank, National Association, as Administrative Agent, Swingline Lender and Issuing Bank, Bank of America, N.A.</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and Royal Bank of Canada, as Syndication Agent, Deutsche Bank AG New York Branch, as Documentation Agent and Wells Fargo Securities,</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LLC, Merrill Lynch, Pierce, Fenner &amp; Smith Incorporated, RBC Capital Markets and Deutsche Bank Securities Inc., as Joint Lead Arrangers</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and Bookrunners</w:t>
        </w:r>
      </w:hyperlink>
    </w:p>
    <w:p>
      <w:pPr>
        <w:spacing w:after="0" w:line="188" w:lineRule="exact"/>
        <w:rPr>
          <w:rFonts w:ascii="Arial" w:cs="Arial" w:eastAsia="Arial" w:hAnsi="Arial"/>
          <w:sz w:val="18"/>
          <w:szCs w:val="18"/>
          <w:u w:val="single" w:color="auto"/>
          <w:color w:val="0000EE"/>
        </w:rPr>
      </w:pPr>
    </w:p>
    <w:p>
      <w:pPr>
        <w:ind w:left="980" w:right="80" w:hanging="971"/>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Exhibit 10.2 </w:t>
      </w:r>
      <w:hyperlink r:id="rId50">
        <w:r>
          <w:rPr>
            <w:rFonts w:ascii="Arial" w:cs="Arial" w:eastAsia="Arial" w:hAnsi="Arial"/>
            <w:sz w:val="18"/>
            <w:szCs w:val="18"/>
            <w:u w:val="single" w:color="auto"/>
            <w:color w:val="0000EE"/>
          </w:rPr>
          <w:t>Gray Television, Inc. 2017 Equity and Incentive Compensation Plan (incorporated by reference to Exhibit 99.1 to the Company's Registration</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Statement on Form S-8 filed with the SEC on May 3, 2017)*</w:t>
        </w:r>
      </w:hyperlink>
    </w:p>
    <w:p>
      <w:pPr>
        <w:spacing w:after="0" w:line="170"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Exhibit 10.3 </w:t>
      </w:r>
      <w:hyperlink w:anchor="page44">
        <w:r>
          <w:rPr>
            <w:rFonts w:ascii="Arial" w:cs="Arial" w:eastAsia="Arial" w:hAnsi="Arial"/>
            <w:sz w:val="17"/>
            <w:szCs w:val="17"/>
            <w:u w:val="single" w:color="auto"/>
            <w:color w:val="0000EE"/>
          </w:rPr>
          <w:t>Form of Director Restricted Stock Award Agreement pursuant to the Gray Television, Inc. 2017 Equity and Incentive Compensation Plan*</w:t>
        </w:r>
      </w:hyperlink>
    </w:p>
    <w:p>
      <w:pPr>
        <w:spacing w:after="0" w:line="23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 31.1 </w:t>
      </w:r>
      <w:hyperlink w:anchor="page47">
        <w:r>
          <w:rPr>
            <w:rFonts w:ascii="Arial" w:cs="Arial" w:eastAsia="Arial" w:hAnsi="Arial"/>
            <w:sz w:val="18"/>
            <w:szCs w:val="18"/>
            <w:u w:val="single" w:color="auto"/>
            <w:color w:val="0000EE"/>
          </w:rPr>
          <w:t>Rule 13(a) – 14(a) Certificate of Chief Executive Officer</w:t>
        </w:r>
      </w:hyperlink>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 31.2 </w:t>
      </w:r>
      <w:hyperlink w:anchor="page48">
        <w:r>
          <w:rPr>
            <w:rFonts w:ascii="Arial" w:cs="Arial" w:eastAsia="Arial" w:hAnsi="Arial"/>
            <w:sz w:val="18"/>
            <w:szCs w:val="18"/>
            <w:u w:val="single" w:color="auto"/>
            <w:color w:val="0000EE"/>
          </w:rPr>
          <w:t>Rule 13(a) – 14(a) Certificate of Chief Financial Officer</w:t>
        </w:r>
      </w:hyperlink>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 32.1 </w:t>
      </w:r>
      <w:hyperlink w:anchor="page49">
        <w:r>
          <w:rPr>
            <w:rFonts w:ascii="Arial" w:cs="Arial" w:eastAsia="Arial" w:hAnsi="Arial"/>
            <w:sz w:val="18"/>
            <w:szCs w:val="18"/>
            <w:u w:val="single" w:color="auto"/>
            <w:color w:val="0000EE"/>
          </w:rPr>
          <w:t>Section 1350 Certificate of Chief Executive Officer</w:t>
        </w:r>
      </w:hyperlink>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 32.2 </w:t>
      </w:r>
      <w:hyperlink w:anchor="page50">
        <w:r>
          <w:rPr>
            <w:rFonts w:ascii="Arial" w:cs="Arial" w:eastAsia="Arial" w:hAnsi="Arial"/>
            <w:sz w:val="18"/>
            <w:szCs w:val="18"/>
            <w:u w:val="single" w:color="auto"/>
            <w:color w:val="0000EE"/>
          </w:rPr>
          <w:t>Section 1350 Certificate of Chief Financial Officer</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464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464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4640" w:type="dxa"/>
            <w:vAlign w:val="bottom"/>
          </w:tcPr>
          <w:p>
            <w:pPr>
              <w:ind w:left="1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4640" w:type="dxa"/>
            <w:vAlign w:val="bottom"/>
          </w:tcPr>
          <w:p>
            <w:pPr>
              <w:ind w:left="1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464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4640" w:type="dxa"/>
            <w:vAlign w:val="bottom"/>
          </w:tcPr>
          <w:p>
            <w:pPr>
              <w:ind w:left="1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4640" w:type="dxa"/>
            <w:vAlign w:val="bottom"/>
          </w:tcPr>
          <w:p>
            <w:pPr>
              <w:ind w:left="14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Management contract or compensatory plan arrangement.</w:t>
      </w: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53"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GRAY TELEVISION, INC.</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Date: August 8, 2017</w:t>
            </w:r>
          </w:p>
        </w:tc>
        <w:tc>
          <w:tcPr>
            <w:tcW w:w="6120" w:type="dxa"/>
            <w:vAlign w:val="bottom"/>
            <w:gridSpan w:val="2"/>
          </w:tcPr>
          <w:p>
            <w:pPr>
              <w:ind w:left="1800"/>
              <w:spacing w:after="0"/>
              <w:rPr>
                <w:sz w:val="20"/>
                <w:szCs w:val="20"/>
                <w:color w:val="auto"/>
              </w:rPr>
            </w:pPr>
            <w:r>
              <w:rPr>
                <w:rFonts w:ascii="Arial" w:cs="Arial" w:eastAsia="Arial" w:hAnsi="Arial"/>
                <w:sz w:val="18"/>
                <w:szCs w:val="18"/>
                <w:color w:val="auto"/>
              </w:rPr>
              <w:t>By: /s/ James C. Ryan</w:t>
            </w:r>
          </w:p>
        </w:tc>
      </w:tr>
      <w:tr>
        <w:trPr>
          <w:trHeight w:val="195"/>
        </w:trPr>
        <w:tc>
          <w:tcPr>
            <w:tcW w:w="33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C. Ryan</w:t>
            </w:r>
          </w:p>
        </w:tc>
      </w:tr>
      <w:tr>
        <w:trPr>
          <w:trHeight w:val="230"/>
        </w:trPr>
        <w:tc>
          <w:tcPr>
            <w:tcW w:w="3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AND INCREMENTAL FACILITY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FIRST AMENDMENT AND INCREMENTAL FACILITY AGREEMENT dated as of April 3, 2017 (this “</w:t>
      </w:r>
      <w:r>
        <w:rPr>
          <w:rFonts w:ascii="Arial" w:cs="Arial" w:eastAsia="Arial" w:hAnsi="Arial"/>
          <w:sz w:val="17"/>
          <w:szCs w:val="17"/>
          <w:u w:val="single" w:color="auto"/>
          <w:color w:val="auto"/>
        </w:rPr>
        <w:t>Agreement</w:t>
      </w:r>
      <w:r>
        <w:rPr>
          <w:rFonts w:ascii="Arial" w:cs="Arial" w:eastAsia="Arial" w:hAnsi="Arial"/>
          <w:sz w:val="17"/>
          <w:szCs w:val="17"/>
          <w:color w:val="auto"/>
        </w:rPr>
        <w:t>”), to the Third Amended and Restated Credit Agreement dated as of February 7, 2017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Gray Television, Inc., a Georgia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Wells Fargo Bank, National Association,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Statement of Purpose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Borrower intends to acquire (directly or indirectly through another Credit Party) (such acquisition, the “</w:t>
      </w:r>
      <w:r>
        <w:rPr>
          <w:rFonts w:ascii="Arial" w:cs="Arial" w:eastAsia="Arial" w:hAnsi="Arial"/>
          <w:sz w:val="18"/>
          <w:szCs w:val="18"/>
          <w:u w:val="single" w:color="auto"/>
          <w:color w:val="auto"/>
        </w:rPr>
        <w:t>Diversified Acquisition</w:t>
      </w:r>
      <w:r>
        <w:rPr>
          <w:rFonts w:ascii="Arial" w:cs="Arial" w:eastAsia="Arial" w:hAnsi="Arial"/>
          <w:sz w:val="18"/>
          <w:szCs w:val="18"/>
          <w:color w:val="auto"/>
        </w:rPr>
        <w:t>”) all or substantially all of the assets of (x) television station WABI-TV in Bangor, Maine (“</w:t>
      </w:r>
      <w:r>
        <w:rPr>
          <w:rFonts w:ascii="Arial" w:cs="Arial" w:eastAsia="Arial" w:hAnsi="Arial"/>
          <w:sz w:val="18"/>
          <w:szCs w:val="18"/>
          <w:u w:val="single" w:color="auto"/>
          <w:color w:val="auto"/>
        </w:rPr>
        <w:t>WABI</w:t>
      </w:r>
      <w:r>
        <w:rPr>
          <w:rFonts w:ascii="Arial" w:cs="Arial" w:eastAsia="Arial" w:hAnsi="Arial"/>
          <w:sz w:val="18"/>
          <w:szCs w:val="18"/>
          <w:color w:val="auto"/>
        </w:rPr>
        <w:t>”) from Community Broadcasting Service (“</w:t>
      </w:r>
      <w:r>
        <w:rPr>
          <w:rFonts w:ascii="Arial" w:cs="Arial" w:eastAsia="Arial" w:hAnsi="Arial"/>
          <w:sz w:val="18"/>
          <w:szCs w:val="18"/>
          <w:u w:val="single" w:color="auto"/>
          <w:color w:val="auto"/>
        </w:rPr>
        <w:t>Community</w:t>
      </w:r>
      <w:r>
        <w:rPr>
          <w:rFonts w:ascii="Arial" w:cs="Arial" w:eastAsia="Arial" w:hAnsi="Arial"/>
          <w:sz w:val="18"/>
          <w:szCs w:val="18"/>
          <w:color w:val="auto"/>
        </w:rPr>
        <w:t>”) and (y) television station WCJB-TV in Gainesville, Florida (“</w:t>
      </w:r>
      <w:r>
        <w:rPr>
          <w:rFonts w:ascii="Arial" w:cs="Arial" w:eastAsia="Arial" w:hAnsi="Arial"/>
          <w:sz w:val="18"/>
          <w:szCs w:val="18"/>
          <w:u w:val="single" w:color="auto"/>
          <w:color w:val="auto"/>
        </w:rPr>
        <w:t>WCJB</w:t>
      </w:r>
      <w:r>
        <w:rPr>
          <w:rFonts w:ascii="Arial" w:cs="Arial" w:eastAsia="Arial" w:hAnsi="Arial"/>
          <w:sz w:val="18"/>
          <w:szCs w:val="18"/>
          <w:color w:val="auto"/>
        </w:rPr>
        <w:t>”, collectively with WABI, the “</w:t>
      </w:r>
      <w:r>
        <w:rPr>
          <w:rFonts w:ascii="Arial" w:cs="Arial" w:eastAsia="Arial" w:hAnsi="Arial"/>
          <w:sz w:val="18"/>
          <w:szCs w:val="18"/>
          <w:u w:val="single" w:color="auto"/>
          <w:color w:val="auto"/>
        </w:rPr>
        <w:t>Target Stations</w:t>
      </w:r>
      <w:r>
        <w:rPr>
          <w:rFonts w:ascii="Arial" w:cs="Arial" w:eastAsia="Arial" w:hAnsi="Arial"/>
          <w:sz w:val="18"/>
          <w:szCs w:val="18"/>
          <w:color w:val="auto"/>
        </w:rPr>
        <w:t>”) from Diversified Broadcasting, Inc. (“</w:t>
      </w:r>
      <w:r>
        <w:rPr>
          <w:rFonts w:ascii="Arial" w:cs="Arial" w:eastAsia="Arial" w:hAnsi="Arial"/>
          <w:sz w:val="18"/>
          <w:szCs w:val="18"/>
          <w:u w:val="single" w:color="auto"/>
          <w:color w:val="auto"/>
        </w:rPr>
        <w:t>Diversified</w:t>
      </w:r>
      <w:r>
        <w:rPr>
          <w:rFonts w:ascii="Arial" w:cs="Arial" w:eastAsia="Arial" w:hAnsi="Arial"/>
          <w:sz w:val="18"/>
          <w:szCs w:val="18"/>
          <w:color w:val="auto"/>
        </w:rPr>
        <w:t>”, together with Community, the “</w:t>
      </w:r>
      <w:r>
        <w:rPr>
          <w:rFonts w:ascii="Arial" w:cs="Arial" w:eastAsia="Arial" w:hAnsi="Arial"/>
          <w:sz w:val="18"/>
          <w:szCs w:val="18"/>
          <w:u w:val="single" w:color="auto"/>
          <w:color w:val="auto"/>
        </w:rPr>
        <w:t>Sellers</w:t>
      </w:r>
      <w:r>
        <w:rPr>
          <w:rFonts w:ascii="Arial" w:cs="Arial" w:eastAsia="Arial" w:hAnsi="Arial"/>
          <w:sz w:val="18"/>
          <w:szCs w:val="18"/>
          <w:color w:val="auto"/>
        </w:rPr>
        <w:t>” and each of Community and Diversified individually, a “</w:t>
      </w:r>
      <w:r>
        <w:rPr>
          <w:rFonts w:ascii="Arial" w:cs="Arial" w:eastAsia="Arial" w:hAnsi="Arial"/>
          <w:sz w:val="18"/>
          <w:szCs w:val="18"/>
          <w:u w:val="single" w:color="auto"/>
          <w:color w:val="auto"/>
        </w:rPr>
        <w:t>Seller</w:t>
      </w:r>
      <w:r>
        <w:rPr>
          <w:rFonts w:ascii="Arial" w:cs="Arial" w:eastAsia="Arial" w:hAnsi="Arial"/>
          <w:sz w:val="18"/>
          <w:szCs w:val="18"/>
          <w:color w:val="auto"/>
        </w:rPr>
        <w:t>”). Pending FCC approval of the Acquisition (the “</w:t>
      </w:r>
      <w:r>
        <w:rPr>
          <w:rFonts w:ascii="Arial" w:cs="Arial" w:eastAsia="Arial" w:hAnsi="Arial"/>
          <w:sz w:val="18"/>
          <w:szCs w:val="18"/>
          <w:u w:val="single" w:color="auto"/>
          <w:color w:val="auto"/>
        </w:rPr>
        <w:t>FCC Consent</w:t>
      </w:r>
      <w:r>
        <w:rPr>
          <w:rFonts w:ascii="Arial" w:cs="Arial" w:eastAsia="Arial" w:hAnsi="Arial"/>
          <w:sz w:val="18"/>
          <w:szCs w:val="18"/>
          <w:color w:val="auto"/>
        </w:rPr>
        <w:t>”), the Borrower or another Credit Party shall enter into Local Marketing Agreements to govern a Station Servicing Arrangement with regard to each of the Target Stations (each such Local Marketing Agreement, a “</w:t>
      </w:r>
      <w:r>
        <w:rPr>
          <w:rFonts w:ascii="Arial" w:cs="Arial" w:eastAsia="Arial" w:hAnsi="Arial"/>
          <w:sz w:val="18"/>
          <w:szCs w:val="18"/>
          <w:u w:val="single" w:color="auto"/>
          <w:color w:val="auto"/>
        </w:rPr>
        <w:t>Diversified LMA</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Diversified Acquisition and the other transactions contemplated in the preceding paragraph, the Borrower has requested an Incremental Institutional Term Loan in the aggregate principal amount of $85,000,000 (the “</w:t>
      </w:r>
      <w:r>
        <w:rPr>
          <w:rFonts w:ascii="Arial" w:cs="Arial" w:eastAsia="Arial" w:hAnsi="Arial"/>
          <w:sz w:val="18"/>
          <w:szCs w:val="18"/>
          <w:u w:val="single" w:color="auto"/>
          <w:color w:val="auto"/>
        </w:rPr>
        <w:t>April 2017 Incremental Increase</w:t>
      </w:r>
      <w:r>
        <w:rPr>
          <w:rFonts w:ascii="Arial" w:cs="Arial" w:eastAsia="Arial" w:hAnsi="Arial"/>
          <w:sz w:val="18"/>
          <w:szCs w:val="18"/>
          <w:color w:val="auto"/>
        </w:rPr>
        <w:t xml:space="preserve">”) in accordance with the terms and conditions of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Credit Agreement.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Subject to the terms and conditions of this Agreement, the lenders of the April 2017 Incremental Increase (the “</w:t>
      </w:r>
      <w:r>
        <w:rPr>
          <w:rFonts w:ascii="Arial" w:cs="Arial" w:eastAsia="Arial" w:hAnsi="Arial"/>
          <w:sz w:val="17"/>
          <w:szCs w:val="17"/>
          <w:u w:val="single" w:color="auto"/>
          <w:color w:val="auto"/>
        </w:rPr>
        <w:t>April 2017 Incremental Lenders</w:t>
      </w:r>
      <w:r>
        <w:rPr>
          <w:rFonts w:ascii="Arial" w:cs="Arial" w:eastAsia="Arial" w:hAnsi="Arial"/>
          <w:sz w:val="17"/>
          <w:szCs w:val="17"/>
          <w:color w:val="auto"/>
        </w:rPr>
        <w:t>”) have severally committed (such several commitments, the “</w:t>
      </w:r>
      <w:r>
        <w:rPr>
          <w:rFonts w:ascii="Arial" w:cs="Arial" w:eastAsia="Arial" w:hAnsi="Arial"/>
          <w:sz w:val="17"/>
          <w:szCs w:val="17"/>
          <w:u w:val="single" w:color="auto"/>
          <w:color w:val="auto"/>
        </w:rPr>
        <w:t>April 2017 Incremental Commitments</w:t>
      </w:r>
      <w:r>
        <w:rPr>
          <w:rFonts w:ascii="Arial" w:cs="Arial" w:eastAsia="Arial" w:hAnsi="Arial"/>
          <w:sz w:val="17"/>
          <w:szCs w:val="17"/>
          <w:color w:val="auto"/>
        </w:rPr>
        <w:t xml:space="preserve">”) to make additional Term B-2 Loans (as such term is amended pursuant to this Agreement) pursuant to the April 2017 Incremental Increase in the respective amounts set forth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Agreement. The April 2017 Incremental Commitments represent the commitments of each such April 2017 Incremental Lender with respect to the draw to be made as part of the Term B-2 Loan on the Effective Date (as defined below) as more particularly described herein.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Credit Agreement provides that the Borrower, the Administrative Agent and the applicable Incremental Lenders may amend the Credit Agreement and the other Loan Documents to effect an Incremental Increase.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good and valuable consideration, the receipt and sufficiency of which is hereby acknowledged, the parties hereto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firstLine="656"/>
        <w:spacing w:after="0" w:line="277" w:lineRule="auto"/>
        <w:tabs>
          <w:tab w:leader="none" w:pos="121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All capitalized undefined terms used in this Agreement (including, without limitation, in the introductory paragraph and the Statement of Purpose hereto) shall have the meanings assigned thereto in the Credit Agreement.</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April 2017 Incremental Increase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55" w:lineRule="auto"/>
        <w:tabs>
          <w:tab w:leader="none" w:pos="18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in this Agreement and the Credit Agreement, each April 2017 Incremental Lender severally agrees to make a single loan in Dollars to the Borrower on the Effective Date in an amount equal to its April 2017 Incremental Commitment. Such loans shall be made on the Effective Date in accordance with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of the Credit Agreement and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the Credit Agreement, the Term B-2 Loan Commitment Ratio of each April 2017 Incremental Lender with respect to the April 2017 Incremental Increase shall be the amount set forth opposite such April 2017 Incremental Lender’s name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tenor of the initial Interest Period applicable to the loan made on the Effective Date shall be as agreed to by the Administrative Agent, the April 2017 Incremental Lenders and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624840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both"/>
        <w:ind w:left="660" w:firstLine="645"/>
        <w:spacing w:after="0" w:line="273" w:lineRule="auto"/>
        <w:tabs>
          <w:tab w:leader="none" w:pos="1746" w:val="left"/>
        </w:tabs>
        <w:numPr>
          <w:ilvl w:val="1"/>
          <w:numId w:val="1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the Credit Agreement or any other Loan Document, the parties hereto agree that, except where the context otherwise requires, the loan made pursuant to the April 2017 Incremental Increase shall be a “Term B-2 Loan” under and as defined in the Credit Agreement. In furtherance of the foregoing, on the Effective Date, the aggregate outstanding principal balance of the Term B-2 Loan shall be increased in an amount equal to the April 2017 Incremental Increase and the Administrative Agent shall be authorized to make such adjustments to the Register, the Term B-2 Loan Commitment Ratios and other loan account balances as it deems necessary to reflect the April 2017 Incremental Increase as part of the Term B-2 Loan.</w:t>
      </w:r>
    </w:p>
    <w:p>
      <w:pPr>
        <w:spacing w:after="0" w:line="178" w:lineRule="exact"/>
        <w:rPr>
          <w:rFonts w:ascii="Arial" w:cs="Arial" w:eastAsia="Arial" w:hAnsi="Arial"/>
          <w:sz w:val="17"/>
          <w:szCs w:val="17"/>
          <w:color w:val="auto"/>
        </w:rPr>
      </w:pPr>
    </w:p>
    <w:p>
      <w:pPr>
        <w:jc w:val="both"/>
        <w:ind w:left="660" w:firstLine="645"/>
        <w:spacing w:after="0" w:line="257" w:lineRule="auto"/>
        <w:tabs>
          <w:tab w:leader="none" w:pos="176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proceeds of the April 2017 Incremental Increase shall be used (i) to finance that portion of the purchase price of the Diversified Acquisition that, in accordance with the Acquisition Documents for the Diversified Acquisition, is due and payable on the date hereof, (ii) to finance payment of fees, transaction costs and expenses incurred in connection with this Agreement, the April 2017 Incremental Increase and the other transactions contemplated hereby and (iii) to the extent of any remaining proceeds after giving effect to clauses (i) and (ii) of this subsection (c), for general corporate purposes of the Borrower and its Restricted Subsidiaries.</w:t>
      </w:r>
    </w:p>
    <w:p>
      <w:pPr>
        <w:spacing w:after="0" w:line="188" w:lineRule="exact"/>
        <w:rPr>
          <w:rFonts w:ascii="Arial" w:cs="Arial" w:eastAsia="Arial" w:hAnsi="Arial"/>
          <w:sz w:val="18"/>
          <w:szCs w:val="18"/>
          <w:color w:val="auto"/>
        </w:rPr>
      </w:pPr>
    </w:p>
    <w:p>
      <w:pPr>
        <w:jc w:val="both"/>
        <w:ind w:left="660" w:firstLine="645"/>
        <w:spacing w:after="0" w:line="285" w:lineRule="auto"/>
        <w:tabs>
          <w:tab w:leader="none" w:pos="1782"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Except to the extent otherwise set forth herein and with respect to original issue discount, the terms and conditions applicable to the April 2017 Incremental Increase shall be the same as the terms and conditions applicable to the Term B-2 Loans. Without limiting the generality of the foregoing, the parties hereto agree that the loans made pursuant to the April 2017 Incremental Increase shall (i) bear interest at the same interest rate (including the Applicable Margin and the last sentence of the definition of “LIBOR”) applicable to the Term B-2 Loans, (ii) be repaid in accordance with </w:t>
      </w:r>
      <w:r>
        <w:rPr>
          <w:rFonts w:ascii="Arial" w:cs="Arial" w:eastAsia="Arial" w:hAnsi="Arial"/>
          <w:sz w:val="16"/>
          <w:szCs w:val="16"/>
          <w:u w:val="single" w:color="auto"/>
          <w:color w:val="auto"/>
        </w:rPr>
        <w:t>Section 2.6(b)(i)</w:t>
      </w:r>
      <w:r>
        <w:rPr>
          <w:rFonts w:ascii="Arial" w:cs="Arial" w:eastAsia="Arial" w:hAnsi="Arial"/>
          <w:sz w:val="16"/>
          <w:szCs w:val="16"/>
          <w:color w:val="auto"/>
        </w:rPr>
        <w:t xml:space="preserve"> of the Credit Agreement (as amended by this Agreement), (iii) mature on the Term B-2 Loan Maturity Date and</w:t>
      </w:r>
    </w:p>
    <w:p>
      <w:pPr>
        <w:spacing w:after="0" w:line="2" w:lineRule="exact"/>
        <w:rPr>
          <w:rFonts w:ascii="Arial" w:cs="Arial" w:eastAsia="Arial" w:hAnsi="Arial"/>
          <w:sz w:val="16"/>
          <w:szCs w:val="16"/>
          <w:color w:val="auto"/>
        </w:rPr>
      </w:pPr>
    </w:p>
    <w:p>
      <w:pPr>
        <w:ind w:left="660" w:hanging="4"/>
        <w:spacing w:after="0" w:line="261" w:lineRule="auto"/>
        <w:tabs>
          <w:tab w:leader="none" w:pos="9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share ratably in all payments (including all optional and mandatory prepayments) with the outstanding Term B-2 Loans and receive the benefits of </w:t>
      </w:r>
      <w:r>
        <w:rPr>
          <w:rFonts w:ascii="Arial" w:cs="Arial" w:eastAsia="Arial" w:hAnsi="Arial"/>
          <w:sz w:val="18"/>
          <w:szCs w:val="18"/>
          <w:u w:val="single" w:color="auto"/>
          <w:color w:val="auto"/>
        </w:rPr>
        <w:t>Section 2.6(a)(ii)</w:t>
      </w:r>
      <w:r>
        <w:rPr>
          <w:rFonts w:ascii="Arial" w:cs="Arial" w:eastAsia="Arial" w:hAnsi="Arial"/>
          <w:sz w:val="18"/>
          <w:szCs w:val="18"/>
          <w:color w:val="auto"/>
        </w:rPr>
        <w:t xml:space="preserve"> of the Credit Agreement on the same terms as the outstanding Term B-2 Loans.</w:t>
      </w:r>
    </w:p>
    <w:p>
      <w:pPr>
        <w:spacing w:after="0" w:line="183" w:lineRule="exact"/>
        <w:rPr>
          <w:rFonts w:ascii="Arial" w:cs="Arial" w:eastAsia="Arial" w:hAnsi="Arial"/>
          <w:sz w:val="18"/>
          <w:szCs w:val="18"/>
          <w:color w:val="auto"/>
        </w:rPr>
      </w:pPr>
    </w:p>
    <w:p>
      <w:pPr>
        <w:ind w:left="660" w:firstLine="645"/>
        <w:spacing w:after="0" w:line="277" w:lineRule="auto"/>
        <w:tabs>
          <w:tab w:leader="none" w:pos="17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By its execution hereof, each party hereto consents to the April 2017 Incremental Increase and the other transactions contemplated hereby notwithstanding any prior notice requirements required by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ind w:firstLine="656"/>
        <w:spacing w:after="0" w:line="277" w:lineRule="auto"/>
        <w:tabs>
          <w:tab w:leader="none" w:pos="123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Amendments to the Credit Agreement</w:t>
      </w:r>
      <w:r>
        <w:rPr>
          <w:rFonts w:ascii="Arial" w:cs="Arial" w:eastAsia="Arial" w:hAnsi="Arial"/>
          <w:sz w:val="18"/>
          <w:szCs w:val="18"/>
          <w:color w:val="auto"/>
        </w:rPr>
        <w:t>. Subject to, and in accordance with, the terms and conditions set forth herein, the parties hereto hereby agree that the Credit Agreement is hereby amended as follows:</w:t>
      </w:r>
    </w:p>
    <w:p>
      <w:pPr>
        <w:spacing w:after="0" w:line="170" w:lineRule="exact"/>
        <w:rPr>
          <w:rFonts w:ascii="Arial" w:cs="Arial" w:eastAsia="Arial" w:hAnsi="Arial"/>
          <w:sz w:val="18"/>
          <w:szCs w:val="18"/>
          <w:color w:val="auto"/>
        </w:rPr>
      </w:pPr>
    </w:p>
    <w:p>
      <w:pPr>
        <w:ind w:left="660" w:firstLine="645"/>
        <w:spacing w:after="0" w:line="277" w:lineRule="auto"/>
        <w:tabs>
          <w:tab w:leader="none" w:pos="1821"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a new definition of “First Amendment Effective Date” is hereby added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in the appropriate alphabetical order to read in its entirety as follows: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means April 3,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ind w:left="660" w:firstLine="645"/>
        <w:spacing w:after="0" w:line="277" w:lineRule="auto"/>
        <w:tabs>
          <w:tab w:leader="none" w:pos="18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definition of “Term B-2 Loan Commitment” is hereby amended by replacing the last sentence of such definition with the following sentence:</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aggregate Term B-2 Loan Commitment of all the Lenders is $556,437,500 as of the Restatement Effective Date and, on the First Amendment Effective Date shall be $85,000,000.”</w:t>
      </w:r>
    </w:p>
    <w:p>
      <w:pPr>
        <w:spacing w:after="0" w:line="170" w:lineRule="exact"/>
        <w:rPr>
          <w:sz w:val="20"/>
          <w:szCs w:val="20"/>
          <w:color w:val="auto"/>
        </w:rPr>
      </w:pPr>
    </w:p>
    <w:p>
      <w:pPr>
        <w:ind w:left="1720" w:hanging="415"/>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the Credit Agreement is hereby amended and restated in its entirety as follows:</w:t>
      </w:r>
    </w:p>
    <w:p>
      <w:pPr>
        <w:spacing w:after="0" w:line="225" w:lineRule="exact"/>
        <w:rPr>
          <w:sz w:val="20"/>
          <w:szCs w:val="20"/>
          <w:color w:val="auto"/>
        </w:rPr>
      </w:pPr>
    </w:p>
    <w:p>
      <w:pPr>
        <w:ind w:left="1620"/>
        <w:spacing w:after="0"/>
        <w:tabs>
          <w:tab w:leader="none" w:pos="212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u w:val="single" w:color="auto"/>
          <w:color w:val="auto"/>
        </w:rPr>
        <w:t>Term B-2 Loan</w:t>
      </w:r>
      <w:r>
        <w:rPr>
          <w:rFonts w:ascii="Arial" w:cs="Arial" w:eastAsia="Arial" w:hAnsi="Arial"/>
          <w:sz w:val="16"/>
          <w:szCs w:val="16"/>
          <w:color w:val="auto"/>
        </w:rPr>
        <w:t>. The Lenders with a Term B-2 Loan Commitment agree severally, in accordance with their respective Term B-2</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Loan Commitment Ratios, and not jointly, upon the terms and subject to the conditions of this Agreement and the other Loan Documents, to</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lend to the Borrower in two separate draws, the first of which occurred on the Restatement Effective Date in an aggregate principal amount</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of $556,437,500 and the second of which shall be made on the First Amendment Effective Date in an aggregate principal amount of</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$85,000,000 (with the resulting aggregate outstanding principal amount of all Term Loans immediately after the First Amendment Effective</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Date being $640,046,406.25), in each case, in an aggregate principal amount not to exceed such Lender’s respective Term B-2 Loan</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Commitment with respect to each such draw. Subject to the terms and conditions hereof, the Borrower may from time to time (x) Convert</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from a Base Rate Advance into a LIBOR Advance or from a LIBOR Advance into a Base Rate Advance; or (y) Continue a LIBOR</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Advance as a LIBOR Advance.”</w:t>
      </w:r>
    </w:p>
    <w:p>
      <w:pPr>
        <w:spacing w:after="0" w:line="211" w:lineRule="exact"/>
        <w:rPr>
          <w:sz w:val="20"/>
          <w:szCs w:val="20"/>
          <w:color w:val="auto"/>
        </w:rPr>
      </w:pPr>
    </w:p>
    <w:p>
      <w:pPr>
        <w:ind w:left="1760" w:hanging="455"/>
        <w:spacing w:after="0"/>
        <w:tabs>
          <w:tab w:leader="none" w:pos="176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Section 2.6(b)(i)</w:t>
      </w:r>
      <w:r>
        <w:rPr>
          <w:rFonts w:ascii="Arial" w:cs="Arial" w:eastAsia="Arial" w:hAnsi="Arial"/>
          <w:sz w:val="16"/>
          <w:szCs w:val="16"/>
          <w:color w:val="auto"/>
        </w:rPr>
        <w:t xml:space="preserve"> of the Credit Agreement is hereby amended by deleting the first sentence thereof in its entirety and replacing it with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following:</w:t>
      </w:r>
    </w:p>
    <w:p>
      <w:pPr>
        <w:spacing w:after="0" w:line="211" w:lineRule="exact"/>
        <w:rPr>
          <w:sz w:val="20"/>
          <w:szCs w:val="20"/>
          <w:color w:val="auto"/>
        </w:rPr>
      </w:pPr>
    </w:p>
    <w:p>
      <w:pPr>
        <w:ind w:left="1300" w:right="40" w:firstLine="324"/>
        <w:spacing w:after="0" w:line="302" w:lineRule="auto"/>
        <w:rPr>
          <w:sz w:val="20"/>
          <w:szCs w:val="20"/>
          <w:color w:val="auto"/>
        </w:rPr>
      </w:pPr>
      <w:r>
        <w:rPr>
          <w:rFonts w:ascii="Arial" w:cs="Arial" w:eastAsia="Arial" w:hAnsi="Arial"/>
          <w:sz w:val="16"/>
          <w:szCs w:val="16"/>
          <w:color w:val="auto"/>
        </w:rPr>
        <w:t>“The Borrower shall, on the last day of each fiscal quarter, commencing March 31, 2017, repay the outstanding principal amount of the Term B-2 Loan in consecutive quarterly principal installments in an amount that is equal to (A) $1,391,093.75 for each such quarter ended prior to the First Amendment Effective Date and (B) $1,604,126.33 for each such quarter ended on or after the First Amendment Effective Date (in each case as such installments shall be adjusted, if applicable, to give effect to any prepayments as set forth herein).”</w:t>
      </w:r>
    </w:p>
    <w:p>
      <w:pPr>
        <w:spacing w:after="0" w:line="154" w:lineRule="exact"/>
        <w:rPr>
          <w:sz w:val="20"/>
          <w:szCs w:val="20"/>
          <w:color w:val="auto"/>
        </w:rPr>
      </w:pPr>
    </w:p>
    <w:p>
      <w:pPr>
        <w:ind w:firstLine="656"/>
        <w:spacing w:after="0" w:line="277" w:lineRule="auto"/>
        <w:tabs>
          <w:tab w:leader="none" w:pos="100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Upon the satisfaction or waiver of each of the following conditions, this Agreement shall be deemed to be effective (the date of such satisfaction,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firstLine="645"/>
        <w:spacing w:after="0" w:line="277" w:lineRule="auto"/>
        <w:tabs>
          <w:tab w:leader="none" w:pos="1761"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Administrative Agent shall have received counterparts of this Agreement executed by the Administrative Agent, each April 2017 Incremental Lender, the Borrower and each Subsidiary Guarantor;</w:t>
      </w:r>
    </w:p>
    <w:p>
      <w:pPr>
        <w:spacing w:after="0" w:line="170" w:lineRule="exact"/>
        <w:rPr>
          <w:rFonts w:ascii="Arial" w:cs="Arial" w:eastAsia="Arial" w:hAnsi="Arial"/>
          <w:sz w:val="18"/>
          <w:szCs w:val="18"/>
          <w:color w:val="auto"/>
        </w:rPr>
      </w:pPr>
    </w:p>
    <w:p>
      <w:pPr>
        <w:ind w:left="660" w:firstLine="645"/>
        <w:spacing w:after="0" w:line="277" w:lineRule="auto"/>
        <w:tabs>
          <w:tab w:leader="none" w:pos="180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Administrative Agent shall have received a duly executed Term Loan Note in favor of each April 2017 Incremental Lender (in each case, if requested by such April 2017 Incremental Lender prior to the Effective Date);</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805"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 Default or Event of Default shall exist as of the Effective Date immediately prior to or after giving effect to (i) the April 2017 Incremental Increase, (ii) the making of any extension credit pursuant to this Agreement and the use of the proceeds thereof and (iii) the entry into the Diversified LMAs;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both"/>
        <w:ind w:left="4" w:firstLine="645"/>
        <w:spacing w:after="0" w:line="284" w:lineRule="auto"/>
        <w:tabs>
          <w:tab w:leader="none" w:pos="1144"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the Borrower shall deliver or cause to be delivered a certificate in form and substance satisfactory to the Administrative Agent and executed by an Authorized Signatory certifying (i) the pro forma Leverage Ratio after giving effect to the making of the extensions of credit pursuant to the April 2017 Incremental Increase (assuming that the April 2017 Incremental Increase is fully funded on the Effective Date) and the use of proceeds thereof on the Effective Date, which shall be less than or equal to the then applicable Debt Incurrence Test, (ii) that the pro forma Leverage Ratio is less than or equal to the greater of (A) the Leverage Ratio as of the last day of the most recently ended fiscal quarter for which financial statements have been (or were required to be) delivered under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of the Credit Agreement, as applicable, and (B) 6.75 to 1.00 and</w:t>
      </w:r>
    </w:p>
    <w:p>
      <w:pPr>
        <w:spacing w:after="0" w:line="4" w:lineRule="exact"/>
        <w:rPr>
          <w:rFonts w:ascii="Arial" w:cs="Arial" w:eastAsia="Arial" w:hAnsi="Arial"/>
          <w:sz w:val="16"/>
          <w:szCs w:val="16"/>
          <w:color w:val="auto"/>
        </w:rPr>
      </w:pPr>
    </w:p>
    <w:p>
      <w:pPr>
        <w:jc w:val="both"/>
        <w:ind w:left="4" w:hanging="4"/>
        <w:spacing w:after="0" w:line="292" w:lineRule="auto"/>
        <w:tabs>
          <w:tab w:leader="none" w:pos="32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that attached thereto are a true, correct and correct copies of (A) the resolutions of the Borrower and each Subsidiary Guarantor authorizing the execution, delivery and performance of this Agreement, the transactions contemplated hereby and the Loan Documents (as amended hereby), (B) any amendments to articles or certificates of formation or incorporation (or the equivalent) and the bylaws or operating agreements (or the equivalent) of the Borrower and each Subsidiary Guarantor since the Restatement Effective Date (or certifying that there have been no such amendments) and (C) the Acquisition Documents with respect to the Diversified Acquisition, including, without limitation, the Diversified LMAs;</w:t>
      </w:r>
    </w:p>
    <w:p>
      <w:pPr>
        <w:spacing w:after="0" w:line="162" w:lineRule="exact"/>
        <w:rPr>
          <w:rFonts w:ascii="Arial" w:cs="Arial" w:eastAsia="Arial" w:hAnsi="Arial"/>
          <w:sz w:val="16"/>
          <w:szCs w:val="16"/>
          <w:color w:val="auto"/>
        </w:rPr>
      </w:pPr>
    </w:p>
    <w:p>
      <w:pPr>
        <w:jc w:val="both"/>
        <w:ind w:left="4" w:firstLine="645"/>
        <w:spacing w:after="0" w:line="259" w:lineRule="auto"/>
        <w:tabs>
          <w:tab w:leader="none" w:pos="12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entry into the Diversified LMAs shall be consummated prior to or substantially concurrently with the extensions of credit hereunder in accordance with all Applicable Laws and on the terms and conditions set forth in Acquisition Documents with respect thereto without giving effect to any amendment, modification, waiver or consent thereto that is materially adverse to the Lenders (as reasonably determined by the Administrative Agent), unless approved in writing by the Administrative Agent;</w:t>
      </w:r>
    </w:p>
    <w:p>
      <w:pPr>
        <w:spacing w:after="0" w:line="186" w:lineRule="exact"/>
        <w:rPr>
          <w:rFonts w:ascii="Arial" w:cs="Arial" w:eastAsia="Arial" w:hAnsi="Arial"/>
          <w:sz w:val="18"/>
          <w:szCs w:val="18"/>
          <w:color w:val="auto"/>
        </w:rPr>
      </w:pPr>
    </w:p>
    <w:p>
      <w:pPr>
        <w:ind w:left="1164" w:hanging="515"/>
        <w:spacing w:after="0"/>
        <w:tabs>
          <w:tab w:leader="none" w:pos="1164"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Administrative Agent shall have received the following, in form and substance reasonably satisfactory to the Administrative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Agent:</w:t>
      </w:r>
    </w:p>
    <w:p>
      <w:pPr>
        <w:spacing w:after="0" w:line="210" w:lineRule="exact"/>
        <w:rPr>
          <w:rFonts w:ascii="Arial" w:cs="Arial" w:eastAsia="Arial" w:hAnsi="Arial"/>
          <w:sz w:val="17"/>
          <w:szCs w:val="17"/>
          <w:color w:val="auto"/>
        </w:rPr>
      </w:pPr>
    </w:p>
    <w:p>
      <w:pPr>
        <w:ind w:left="964" w:right="40" w:firstLine="495"/>
        <w:spacing w:after="0" w:line="257" w:lineRule="auto"/>
        <w:tabs>
          <w:tab w:leader="none" w:pos="1845" w:val="left"/>
        </w:tabs>
        <w:numPr>
          <w:ilvl w:val="2"/>
          <w:numId w:val="22"/>
        </w:numPr>
        <w:rPr>
          <w:rFonts w:ascii="Arial" w:cs="Arial" w:eastAsia="Arial" w:hAnsi="Arial"/>
          <w:sz w:val="18"/>
          <w:szCs w:val="18"/>
          <w:color w:val="auto"/>
        </w:rPr>
      </w:pPr>
      <w:r>
        <w:rPr>
          <w:rFonts w:ascii="Arial" w:cs="Arial" w:eastAsia="Arial" w:hAnsi="Arial"/>
          <w:sz w:val="18"/>
          <w:szCs w:val="18"/>
          <w:color w:val="auto"/>
        </w:rPr>
        <w:t>legal opinions of (A) Jones Day, corporate counsel to the Borrower and its Restricted Subsidiaries, and (B) such other legal opinions as may be reasonably requested by the Administrative Agent (which shall include customary reliance by successors and/or assigns of each April 2017 Incremental Lender and the Administrative Agent) in each case, addressed to the April 2017 Incremental Lenders and the Administrative Agent and dated as of the Effective Date, which shall be in form and substance reasonably acceptable to the Administrative Agent;</w:t>
      </w:r>
    </w:p>
    <w:p>
      <w:pPr>
        <w:spacing w:after="0" w:line="188" w:lineRule="exact"/>
        <w:rPr>
          <w:rFonts w:ascii="Arial" w:cs="Arial" w:eastAsia="Arial" w:hAnsi="Arial"/>
          <w:sz w:val="18"/>
          <w:szCs w:val="18"/>
          <w:color w:val="auto"/>
        </w:rPr>
      </w:pPr>
    </w:p>
    <w:p>
      <w:pPr>
        <w:ind w:left="964" w:right="240" w:firstLine="495"/>
        <w:spacing w:after="0" w:line="308" w:lineRule="auto"/>
        <w:tabs>
          <w:tab w:leader="none" w:pos="1895" w:val="left"/>
        </w:tabs>
        <w:numPr>
          <w:ilvl w:val="2"/>
          <w:numId w:val="22"/>
        </w:numPr>
        <w:rPr>
          <w:rFonts w:ascii="Arial" w:cs="Arial" w:eastAsia="Arial" w:hAnsi="Arial"/>
          <w:sz w:val="17"/>
          <w:szCs w:val="17"/>
          <w:color w:val="auto"/>
        </w:rPr>
      </w:pPr>
      <w:r>
        <w:rPr>
          <w:rFonts w:ascii="Arial" w:cs="Arial" w:eastAsia="Arial" w:hAnsi="Arial"/>
          <w:sz w:val="17"/>
          <w:szCs w:val="17"/>
          <w:color w:val="auto"/>
        </w:rPr>
        <w:t>Uniform Commercial Code Lien and other applicable searches with respect to the Target Stations, applicable purchased assets (including any rights of assignment) and the applicable Seller with respect to the Diversified Acquisition;</w:t>
      </w:r>
    </w:p>
    <w:p>
      <w:pPr>
        <w:spacing w:after="0" w:line="146" w:lineRule="exact"/>
        <w:rPr>
          <w:rFonts w:ascii="Arial" w:cs="Arial" w:eastAsia="Arial" w:hAnsi="Arial"/>
          <w:sz w:val="17"/>
          <w:szCs w:val="17"/>
          <w:color w:val="auto"/>
        </w:rPr>
      </w:pPr>
    </w:p>
    <w:p>
      <w:pPr>
        <w:ind w:left="964" w:right="60" w:firstLine="495"/>
        <w:spacing w:after="0" w:line="257" w:lineRule="auto"/>
        <w:tabs>
          <w:tab w:leader="none" w:pos="1945" w:val="left"/>
        </w:tabs>
        <w:numPr>
          <w:ilvl w:val="2"/>
          <w:numId w:val="22"/>
        </w:numPr>
        <w:rPr>
          <w:rFonts w:ascii="Arial" w:cs="Arial" w:eastAsia="Arial" w:hAnsi="Arial"/>
          <w:sz w:val="18"/>
          <w:szCs w:val="18"/>
          <w:color w:val="auto"/>
        </w:rPr>
      </w:pPr>
      <w:r>
        <w:rPr>
          <w:rFonts w:ascii="Arial" w:cs="Arial" w:eastAsia="Arial" w:hAnsi="Arial"/>
          <w:sz w:val="18"/>
          <w:szCs w:val="18"/>
          <w:color w:val="auto"/>
        </w:rPr>
        <w:t>evidence that, other than the FCC Consent (1) all Necessary Authorizations relating to the execution, delivery and performance of this Agreement and any other documents in connection therewith and the entry into and performance of the Diversified LMAs and consummation of the Diversified Acquisition have been obtained or made and are in full force and effect and (2) all conditions precedent to the Diversified Acquisition have been satisfied or waived, other than any such conditions which shall by their terms be satisfied at closing of the Diversified Acquisition;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38" w:name="page39"/>
    <w:bookmarkEnd w:id="38"/>
    <w:p>
      <w:pPr>
        <w:ind w:left="2600" w:hanging="485"/>
        <w:spacing w:after="0"/>
        <w:tabs>
          <w:tab w:leader="none" w:pos="26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a completed and duly executed Request for Advance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the Credit Agreement; and</w:t>
      </w:r>
    </w:p>
    <w:p>
      <w:pPr>
        <w:spacing w:after="0" w:line="248" w:lineRule="exact"/>
        <w:rPr>
          <w:rFonts w:ascii="Arial" w:cs="Arial" w:eastAsia="Arial" w:hAnsi="Arial"/>
          <w:sz w:val="16"/>
          <w:szCs w:val="16"/>
          <w:color w:val="auto"/>
        </w:rPr>
      </w:pPr>
    </w:p>
    <w:p>
      <w:pPr>
        <w:ind w:left="1620" w:right="360" w:firstLine="495"/>
        <w:spacing w:after="0" w:line="277" w:lineRule="auto"/>
        <w:tabs>
          <w:tab w:leader="none" w:pos="254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such other documents as the Administrative Agent may reasonably request, in each case certified by an appropriate governmental official or an Authorized Signatory if so requested; and</w:t>
      </w:r>
    </w:p>
    <w:p>
      <w:pPr>
        <w:spacing w:after="0" w:line="170" w:lineRule="exact"/>
        <w:rPr>
          <w:rFonts w:ascii="Arial" w:cs="Arial" w:eastAsia="Arial" w:hAnsi="Arial"/>
          <w:sz w:val="18"/>
          <w:szCs w:val="18"/>
          <w:color w:val="auto"/>
        </w:rPr>
      </w:pPr>
    </w:p>
    <w:p>
      <w:pPr>
        <w:jc w:val="both"/>
        <w:ind w:left="660" w:firstLine="645"/>
        <w:spacing w:after="0" w:line="290" w:lineRule="auto"/>
        <w:tabs>
          <w:tab w:leader="none" w:pos="177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Borrower shall have paid to the Administrative Agent, Wells Fargo Securities, LLC and the April 2017 Incremental Lenders all fees due on the Effective Date and any other accrued and unpaid fees or commissions due on the Effective Date, (ii) all reasonable and invoiced fees, charges and disbursements of counsel to the Administrative Agent (directly to such counsel if requested by the Administrative Agent) to the extent accrued and unpaid prior to or on the Effective Date, plus such estimate of such fees, charges and disbursements as shall constitute its reasonable estimate of such fees, charges and disbursements incurred or to be incurred by it through the closing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estimate shall not thereafter preclude a final settling of accounts between the Borrower and the Administrative Agent) and (iii) to any other Person such amount as may be due thereto on the Effective Date in connection with the transactions contemplated hereby, including all taxes, fees and other charges in connection with the execution, delivery, recording, filing and registration of any document in connection with this Agreement.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Without limiting the generality of the provisions of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the Credit Agreement, for purposes of determining compliance with the conditions specified in this </w:t>
      </w:r>
      <w:r>
        <w:rPr>
          <w:rFonts w:ascii="Arial" w:cs="Arial" w:eastAsia="Arial" w:hAnsi="Arial"/>
          <w:sz w:val="18"/>
          <w:szCs w:val="18"/>
          <w:u w:val="single" w:color="auto"/>
          <w:color w:val="auto"/>
        </w:rPr>
        <w:t>Section 4</w:t>
      </w:r>
      <w:r>
        <w:rPr>
          <w:rFonts w:ascii="Arial" w:cs="Arial" w:eastAsia="Arial" w:hAnsi="Arial"/>
          <w:sz w:val="18"/>
          <w:szCs w:val="18"/>
          <w:color w:val="auto"/>
        </w:rPr>
        <w:t>, each April 2017 Incremental Lender that has signed this Agreement shall be deemed to have consented to, approved or accepted or to be satisfied with, each document or other matter required thereunder to be consented to or approved by or acceptable or satisfactory to an April 2017 Incremental Lender unless the Administrative Agent shall have received notice from such Lender prior to the proposed Effective Date specifying its objection thereto.</w:t>
      </w:r>
    </w:p>
    <w:p>
      <w:pPr>
        <w:spacing w:after="0" w:line="188" w:lineRule="exact"/>
        <w:rPr>
          <w:sz w:val="20"/>
          <w:szCs w:val="20"/>
          <w:color w:val="auto"/>
        </w:rPr>
      </w:pPr>
    </w:p>
    <w:p>
      <w:pPr>
        <w:jc w:val="both"/>
        <w:ind w:firstLine="656"/>
        <w:spacing w:after="0" w:line="269" w:lineRule="auto"/>
        <w:tabs>
          <w:tab w:leader="none" w:pos="1035"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Limited Effect</w:t>
      </w:r>
      <w:r>
        <w:rPr>
          <w:rFonts w:ascii="Arial" w:cs="Arial" w:eastAsia="Arial" w:hAnsi="Arial"/>
          <w:sz w:val="17"/>
          <w:szCs w:val="17"/>
          <w:color w:val="auto"/>
        </w:rPr>
        <w:t>. Except as expressly provided herein, the Credit Agreement and the other Loan Documents shall remain unmodified and in full force and effect. This Agreement shall not be deemed (a) to be a waiver of, consent to, or a modification or amendment of any other term or condition of the Credit Agreement or any other Loan Document, (b) to prejudice any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modified from time to time, (c) to be a commitment or any other undertaking or expression of any willingness to engage in any further discussion with the Borrower or any of its Subsidiaries or any other Person with respect to any other waiver, amendment, modification or any other change to the Credit Agreement or the Loan Documents or any rights or remedies arising in favor of the Lenders or the Administrative Agent, or any of them, under or with respect to any such documents or (d) to be a waiver of, or consent to, or a modification or amendment of, any other term or condition of any other agreement by and among the Credit Parties, on the one hand, and the Administrative Agent or any other Lender, on the other hand. References in the Credit Agreement to “this Agreement” (and indirect references such as “hereunder”, “hereby”, “herein”, “hereof” or other words of like import) and in any other Loan Document to the “Credit Agreement” shall be deemed to be references to the Credit Agreement as modified hereby.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jc w:val="both"/>
        <w:ind w:firstLine="656"/>
        <w:spacing w:after="0" w:line="269" w:lineRule="auto"/>
        <w:tabs>
          <w:tab w:leader="none" w:pos="1022"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By its execution hereof, each Credit Party hereby certifies, represents and warrants that (a) it has the corporate power and authority to execute, deliver and perform this Agreement, (b) it has taken all necessary corporate action to authorize the execution, delivery and performance of this Agreement, (c) this Agreement has been duly executed and delivered on behalf of such Credit Party, (d) this Agreement constitutes a legal, valid and binding obligation of such Credit Party, enforceable against it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and (e) each of the representations and warranties made by it in or pursuant to the Loan Documents are true and correct in all material respects (except to the extent that such representation and warranty is subject to a materiality or Materially Adverse Effect qualifier, in which case it shall be true and correct in all respects), in each case on and as of the Effective Date as if made on and as of the Effective Date (both before and after giving effect to the April 2017 Incremental Increase), except to the extent that such representations and warranties relate to an earlier date, in which case such representations and warranties are true and correct in all material respects (except to the extent that such representation and warranty is subject to a materiality or Materially Adverse Effect qualifier, in which case it shall be true and correct in all respects) as of such earlier date.</w:t>
      </w:r>
    </w:p>
    <w:p>
      <w:pPr>
        <w:spacing w:after="0" w:line="179" w:lineRule="exact"/>
        <w:rPr>
          <w:rFonts w:ascii="Arial" w:cs="Arial" w:eastAsia="Arial" w:hAnsi="Arial"/>
          <w:sz w:val="17"/>
          <w:szCs w:val="17"/>
          <w:color w:val="auto"/>
        </w:rPr>
      </w:pPr>
    </w:p>
    <w:p>
      <w:pPr>
        <w:jc w:val="both"/>
        <w:ind w:firstLine="656"/>
        <w:spacing w:after="0" w:line="302" w:lineRule="auto"/>
        <w:tabs>
          <w:tab w:leader="none" w:pos="1049"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Reaffirmation</w:t>
      </w:r>
      <w:r>
        <w:rPr>
          <w:rFonts w:ascii="Arial" w:cs="Arial" w:eastAsia="Arial" w:hAnsi="Arial"/>
          <w:sz w:val="16"/>
          <w:szCs w:val="16"/>
          <w:color w:val="auto"/>
        </w:rPr>
        <w:t>. By its execution hereof, each Subsidiary Guarantor hereby expressly (a) acknowledges that the covenants, representations and warranties and other obligations set forth in the Credit Agreement and the other Loan Documents to which it is a party remain in full force and effect and (b) affirms that each of the Liens and security interests granted in or pursuant to the Loan Documents are valid and subsisting and (c) agrees that this Agreement shall in no manner impair or otherwise adversely affect any of the Liens and security interests granted in or pursuant to the Loan Documents.</w:t>
      </w:r>
    </w:p>
    <w:p>
      <w:pPr>
        <w:spacing w:after="0" w:line="154" w:lineRule="exact"/>
        <w:rPr>
          <w:rFonts w:ascii="Arial" w:cs="Arial" w:eastAsia="Arial" w:hAnsi="Arial"/>
          <w:sz w:val="16"/>
          <w:szCs w:val="16"/>
          <w:color w:val="auto"/>
        </w:rPr>
      </w:pPr>
    </w:p>
    <w:p>
      <w:pPr>
        <w:jc w:val="both"/>
        <w:ind w:firstLine="656"/>
        <w:spacing w:after="0" w:line="259" w:lineRule="auto"/>
        <w:tabs>
          <w:tab w:leader="none" w:pos="111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Delivery of an executed counterpart of a signature page of this Agreement by facsimile or other electronic imaging means (e.g. “pdf” or “tif”) shall be effective as delivery of an original executed counterpart hereof.</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19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spacing w:after="0" w:line="186" w:lineRule="exact"/>
        <w:rPr>
          <w:rFonts w:ascii="Arial" w:cs="Arial" w:eastAsia="Arial" w:hAnsi="Arial"/>
          <w:sz w:val="18"/>
          <w:szCs w:val="18"/>
          <w:color w:val="auto"/>
        </w:rPr>
      </w:pPr>
    </w:p>
    <w:p>
      <w:pPr>
        <w:ind w:firstLine="656"/>
        <w:spacing w:after="0" w:line="277" w:lineRule="auto"/>
        <w:tabs>
          <w:tab w:leader="none" w:pos="109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the entire agreement, and supersedes any prior agreements and contemporaneous oral agreements, of the parties concerning its subject matter.</w:t>
      </w:r>
    </w:p>
    <w:p>
      <w:pPr>
        <w:spacing w:after="0" w:line="170" w:lineRule="exact"/>
        <w:rPr>
          <w:rFonts w:ascii="Arial" w:cs="Arial" w:eastAsia="Arial" w:hAnsi="Arial"/>
          <w:sz w:val="18"/>
          <w:szCs w:val="18"/>
          <w:color w:val="auto"/>
        </w:rPr>
      </w:pPr>
    </w:p>
    <w:p>
      <w:pPr>
        <w:ind w:firstLine="656"/>
        <w:spacing w:after="0" w:line="277" w:lineRule="auto"/>
        <w:tabs>
          <w:tab w:leader="none" w:pos="114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on and inure to the benefit of the parties and their heirs, beneficiaries, successors and permitted assigns.</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Nature of Agreement</w:t>
      </w:r>
      <w:r>
        <w:rPr>
          <w:rFonts w:ascii="Arial" w:cs="Arial" w:eastAsia="Arial" w:hAnsi="Arial"/>
          <w:sz w:val="18"/>
          <w:szCs w:val="18"/>
          <w:color w:val="auto"/>
        </w:rPr>
        <w:t>. This Agreement shall be an Incremental Increase Amendment as defined in the Credit Agreement.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28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Agreement Regarding Assignments</w:t>
      </w:r>
      <w:r>
        <w:rPr>
          <w:rFonts w:ascii="Arial" w:cs="Arial" w:eastAsia="Arial" w:hAnsi="Arial"/>
          <w:sz w:val="18"/>
          <w:szCs w:val="18"/>
          <w:color w:val="auto"/>
        </w:rPr>
        <w:t xml:space="preserve">. Notwithstanding anything to the contrary contained in the Credit Agreement (including, without limitation,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thereof) or any other Loan Document, the Borrower hereby agrees that its consent shall not be required with respect to any assignment of Term B-2 Loan during the primary syndication of the Term B-2 Loan made pursuant to the April 2017 Incremental Increase (which shall include the 90 day period following the Effective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duly authorized officers, all as of the day and year first written above.</w:t>
      </w:r>
    </w:p>
    <w:p>
      <w:pPr>
        <w:spacing w:after="0" w:line="200" w:lineRule="exact"/>
        <w:rPr>
          <w:sz w:val="20"/>
          <w:szCs w:val="20"/>
          <w:color w:val="auto"/>
        </w:rPr>
      </w:pPr>
    </w:p>
    <w:p>
      <w:pPr>
        <w:spacing w:after="0" w:line="29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GRAY TELEVISION, INC.</w:t>
      </w:r>
      <w:r>
        <w:rPr>
          <w:rFonts w:ascii="Arial" w:cs="Arial" w:eastAsia="Arial" w:hAnsi="Arial"/>
          <w:sz w:val="17"/>
          <w:szCs w:val="17"/>
          <w:color w:val="auto"/>
        </w:rPr>
        <w:t>, as Borrower</w:t>
      </w:r>
    </w:p>
    <w:p>
      <w:pPr>
        <w:spacing w:after="0" w:line="200" w:lineRule="exact"/>
        <w:rPr>
          <w:sz w:val="20"/>
          <w:szCs w:val="20"/>
          <w:color w:val="auto"/>
        </w:rPr>
      </w:pPr>
    </w:p>
    <w:p>
      <w:pPr>
        <w:spacing w:after="0" w:line="24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James C. Ryan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Name:James C.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b w:val="1"/>
          <w:bCs w:val="1"/>
          <w:color w:val="auto"/>
        </w:rPr>
        <w:t>SUBSIDIARY GUARANTORS</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WVLT-TV, INC.</w:t>
      </w:r>
    </w:p>
    <w:p>
      <w:pPr>
        <w:spacing w:after="0" w:line="200" w:lineRule="exact"/>
        <w:rPr>
          <w:sz w:val="20"/>
          <w:szCs w:val="20"/>
          <w:color w:val="auto"/>
        </w:rPr>
      </w:pPr>
    </w:p>
    <w:p>
      <w:pPr>
        <w:spacing w:after="0" w:line="24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James C. Ryan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Name:James C.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 and Chief Financial Officer</w:t>
      </w:r>
    </w:p>
    <w:p>
      <w:pPr>
        <w:spacing w:after="0" w:line="20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GRAY TELEVISION GROUP, INC.</w:t>
      </w:r>
    </w:p>
    <w:p>
      <w:pPr>
        <w:spacing w:after="0" w:line="200" w:lineRule="exact"/>
        <w:rPr>
          <w:sz w:val="20"/>
          <w:szCs w:val="20"/>
          <w:color w:val="auto"/>
        </w:rPr>
      </w:pPr>
    </w:p>
    <w:p>
      <w:pPr>
        <w:spacing w:after="0" w:line="24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James C. Ryan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Name:James C.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GRAY TELEVISION LICENSEE, LLC</w:t>
      </w:r>
    </w:p>
    <w:p>
      <w:pPr>
        <w:spacing w:after="0" w:line="200" w:lineRule="exact"/>
        <w:rPr>
          <w:sz w:val="20"/>
          <w:szCs w:val="20"/>
          <w:color w:val="auto"/>
        </w:rPr>
      </w:pPr>
    </w:p>
    <w:p>
      <w:pPr>
        <w:spacing w:after="0" w:line="24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James C. Ryan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Name:James C.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Gray Television,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First Amendment and Incremental Facility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0"/>
        </w:trPr>
        <w:tc>
          <w:tcPr>
            <w:tcW w:w="4000" w:type="dxa"/>
            <w:vAlign w:val="bottom"/>
          </w:tcPr>
          <w:p>
            <w:pPr>
              <w:spacing w:after="0"/>
              <w:rPr>
                <w:sz w:val="20"/>
                <w:szCs w:val="20"/>
                <w:color w:val="auto"/>
              </w:rPr>
            </w:pPr>
            <w:r>
              <w:rPr>
                <w:rFonts w:ascii="Arial" w:cs="Arial" w:eastAsia="Arial" w:hAnsi="Arial"/>
                <w:sz w:val="18"/>
                <w:szCs w:val="18"/>
                <w:b w:val="1"/>
                <w:bCs w:val="1"/>
                <w:color w:val="auto"/>
              </w:rPr>
              <w:t>ADMINISTRATIVE AGENT</w:t>
            </w:r>
            <w:r>
              <w:rPr>
                <w:rFonts w:ascii="Arial" w:cs="Arial" w:eastAsia="Arial" w:hAnsi="Arial"/>
                <w:sz w:val="18"/>
                <w:szCs w:val="18"/>
                <w:color w:val="auto"/>
              </w:rPr>
              <w:t>:</w:t>
            </w:r>
          </w:p>
        </w:tc>
        <w:tc>
          <w:tcPr>
            <w:tcW w:w="6060" w:type="dxa"/>
            <w:vAlign w:val="bottom"/>
            <w:gridSpan w:val="2"/>
          </w:tcPr>
          <w:p>
            <w:pPr>
              <w:ind w:left="1640"/>
              <w:spacing w:after="0"/>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w:t>
            </w:r>
          </w:p>
        </w:tc>
      </w:tr>
      <w:tr>
        <w:trPr>
          <w:trHeight w:val="216"/>
        </w:trPr>
        <w:tc>
          <w:tcPr>
            <w:tcW w:w="4000" w:type="dxa"/>
            <w:vAlign w:val="bottom"/>
          </w:tcPr>
          <w:p>
            <w:pPr>
              <w:spacing w:after="0"/>
              <w:rPr>
                <w:sz w:val="18"/>
                <w:szCs w:val="18"/>
                <w:color w:val="auto"/>
              </w:rPr>
            </w:pPr>
          </w:p>
        </w:tc>
        <w:tc>
          <w:tcPr>
            <w:tcW w:w="6060" w:type="dxa"/>
            <w:vAlign w:val="bottom"/>
            <w:gridSpan w:val="2"/>
          </w:tcPr>
          <w:p>
            <w:pPr>
              <w:ind w:left="1640"/>
              <w:spacing w:after="0"/>
              <w:rPr>
                <w:sz w:val="20"/>
                <w:szCs w:val="20"/>
                <w:color w:val="auto"/>
              </w:rPr>
            </w:pPr>
            <w:r>
              <w:rPr>
                <w:rFonts w:ascii="Arial" w:cs="Arial" w:eastAsia="Arial" w:hAnsi="Arial"/>
                <w:sz w:val="18"/>
                <w:szCs w:val="18"/>
                <w:color w:val="auto"/>
                <w:w w:val="97"/>
              </w:rPr>
              <w:t>as Administrative Agent, Issuing Bank, Swingline Lender</w:t>
            </w:r>
          </w:p>
        </w:tc>
      </w:tr>
      <w:tr>
        <w:trPr>
          <w:trHeight w:val="216"/>
        </w:trPr>
        <w:tc>
          <w:tcPr>
            <w:tcW w:w="4000" w:type="dxa"/>
            <w:vAlign w:val="bottom"/>
          </w:tcPr>
          <w:p>
            <w:pPr>
              <w:spacing w:after="0"/>
              <w:rPr>
                <w:sz w:val="18"/>
                <w:szCs w:val="18"/>
                <w:color w:val="auto"/>
              </w:rPr>
            </w:pPr>
          </w:p>
        </w:tc>
        <w:tc>
          <w:tcPr>
            <w:tcW w:w="6060" w:type="dxa"/>
            <w:vAlign w:val="bottom"/>
            <w:gridSpan w:val="2"/>
          </w:tcPr>
          <w:p>
            <w:pPr>
              <w:ind w:left="1640"/>
              <w:spacing w:after="0"/>
              <w:rPr>
                <w:sz w:val="20"/>
                <w:szCs w:val="20"/>
                <w:color w:val="auto"/>
              </w:rPr>
            </w:pPr>
            <w:r>
              <w:rPr>
                <w:rFonts w:ascii="Arial" w:cs="Arial" w:eastAsia="Arial" w:hAnsi="Arial"/>
                <w:sz w:val="18"/>
                <w:szCs w:val="18"/>
                <w:color w:val="auto"/>
              </w:rPr>
              <w:t>and an</w:t>
            </w:r>
          </w:p>
        </w:tc>
      </w:tr>
      <w:tr>
        <w:trPr>
          <w:trHeight w:val="230"/>
        </w:trPr>
        <w:tc>
          <w:tcPr>
            <w:tcW w:w="4000" w:type="dxa"/>
            <w:vAlign w:val="bottom"/>
          </w:tcPr>
          <w:p>
            <w:pPr>
              <w:spacing w:after="0"/>
              <w:rPr>
                <w:sz w:val="20"/>
                <w:szCs w:val="20"/>
                <w:color w:val="auto"/>
              </w:rPr>
            </w:pPr>
          </w:p>
        </w:tc>
        <w:tc>
          <w:tcPr>
            <w:tcW w:w="6060" w:type="dxa"/>
            <w:vAlign w:val="bottom"/>
            <w:gridSpan w:val="2"/>
          </w:tcPr>
          <w:p>
            <w:pPr>
              <w:ind w:left="1640"/>
              <w:spacing w:after="0"/>
              <w:rPr>
                <w:sz w:val="20"/>
                <w:szCs w:val="20"/>
                <w:color w:val="auto"/>
              </w:rPr>
            </w:pPr>
            <w:r>
              <w:rPr>
                <w:rFonts w:ascii="Arial" w:cs="Arial" w:eastAsia="Arial" w:hAnsi="Arial"/>
                <w:sz w:val="18"/>
                <w:szCs w:val="18"/>
                <w:color w:val="auto"/>
              </w:rPr>
              <w:t>April 2017 Incremental Lender</w:t>
            </w:r>
          </w:p>
        </w:tc>
      </w:tr>
      <w:tr>
        <w:trPr>
          <w:trHeight w:val="648"/>
        </w:trPr>
        <w:tc>
          <w:tcPr>
            <w:tcW w:w="4000" w:type="dxa"/>
            <w:vAlign w:val="bottom"/>
          </w:tcPr>
          <w:p>
            <w:pPr>
              <w:spacing w:after="0"/>
              <w:rPr>
                <w:sz w:val="24"/>
                <w:szCs w:val="24"/>
                <w:color w:val="auto"/>
              </w:rPr>
            </w:pPr>
          </w:p>
        </w:tc>
        <w:tc>
          <w:tcPr>
            <w:tcW w:w="6060" w:type="dxa"/>
            <w:vAlign w:val="bottom"/>
            <w:gridSpan w:val="2"/>
          </w:tcPr>
          <w:p>
            <w:pPr>
              <w:ind w:left="1640"/>
              <w:spacing w:after="0"/>
              <w:rPr>
                <w:sz w:val="20"/>
                <w:szCs w:val="20"/>
                <w:color w:val="auto"/>
              </w:rPr>
            </w:pPr>
            <w:r>
              <w:rPr>
                <w:rFonts w:ascii="Arial" w:cs="Arial" w:eastAsia="Arial" w:hAnsi="Arial"/>
                <w:sz w:val="18"/>
                <w:szCs w:val="18"/>
                <w:color w:val="auto"/>
              </w:rPr>
              <w:t>By:   /s/ Tray Jones</w:t>
            </w:r>
          </w:p>
        </w:tc>
      </w:tr>
      <w:tr>
        <w:trPr>
          <w:trHeight w:val="20"/>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r>
      <w:tr>
        <w:trPr>
          <w:trHeight w:val="195"/>
        </w:trPr>
        <w:tc>
          <w:tcPr>
            <w:tcW w:w="4000" w:type="dxa"/>
            <w:vAlign w:val="bottom"/>
          </w:tcPr>
          <w:p>
            <w:pPr>
              <w:spacing w:after="0"/>
              <w:rPr>
                <w:sz w:val="16"/>
                <w:szCs w:val="16"/>
                <w:color w:val="auto"/>
              </w:rPr>
            </w:pPr>
          </w:p>
        </w:tc>
        <w:tc>
          <w:tcPr>
            <w:tcW w:w="6060" w:type="dxa"/>
            <w:vAlign w:val="bottom"/>
            <w:gridSpan w:val="2"/>
          </w:tcPr>
          <w:p>
            <w:pPr>
              <w:ind w:left="1640"/>
              <w:spacing w:after="0" w:line="195" w:lineRule="exact"/>
              <w:rPr>
                <w:sz w:val="20"/>
                <w:szCs w:val="20"/>
                <w:color w:val="auto"/>
              </w:rPr>
            </w:pPr>
            <w:r>
              <w:rPr>
                <w:rFonts w:ascii="Arial" w:cs="Arial" w:eastAsia="Arial" w:hAnsi="Arial"/>
                <w:sz w:val="18"/>
                <w:szCs w:val="18"/>
                <w:color w:val="auto"/>
              </w:rPr>
              <w:t>Name:Tray Jones</w:t>
            </w:r>
          </w:p>
        </w:tc>
      </w:tr>
      <w:tr>
        <w:trPr>
          <w:trHeight w:val="230"/>
        </w:trPr>
        <w:tc>
          <w:tcPr>
            <w:tcW w:w="4000" w:type="dxa"/>
            <w:vAlign w:val="bottom"/>
          </w:tcPr>
          <w:p>
            <w:pPr>
              <w:spacing w:after="0"/>
              <w:rPr>
                <w:sz w:val="20"/>
                <w:szCs w:val="20"/>
                <w:color w:val="auto"/>
              </w:rPr>
            </w:pPr>
          </w:p>
        </w:tc>
        <w:tc>
          <w:tcPr>
            <w:tcW w:w="6060" w:type="dxa"/>
            <w:vAlign w:val="bottom"/>
            <w:gridSpan w:val="2"/>
          </w:tcPr>
          <w:p>
            <w:pPr>
              <w:ind w:left="1640"/>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21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Gray Television,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First Amendment and Incremental Facility Agreement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ANNEX A</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April 2017 Lenders and Commitments</w:t>
      </w:r>
    </w:p>
    <w:p>
      <w:pPr>
        <w:spacing w:after="0" w:line="216" w:lineRule="exact"/>
        <w:rPr>
          <w:sz w:val="20"/>
          <w:szCs w:val="20"/>
          <w:color w:val="auto"/>
        </w:rPr>
      </w:pPr>
    </w:p>
    <w:tbl>
      <w:tblPr>
        <w:tblLayout w:type="fixed"/>
        <w:tblInd w:w="230" w:type="dxa"/>
        <w:tblCellMar>
          <w:top w:w="0" w:type="dxa"/>
          <w:left w:w="0" w:type="dxa"/>
          <w:bottom w:w="0" w:type="dxa"/>
          <w:right w:w="0" w:type="dxa"/>
        </w:tblCellMar>
      </w:tblPr>
      <w:tr>
        <w:trPr>
          <w:trHeight w:val="214"/>
        </w:trPr>
        <w:tc>
          <w:tcPr>
            <w:tcW w:w="432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Lender</w:t>
            </w:r>
          </w:p>
        </w:tc>
        <w:tc>
          <w:tcPr>
            <w:tcW w:w="3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April 2017 Incremental</w:t>
            </w:r>
          </w:p>
        </w:tc>
        <w:tc>
          <w:tcPr>
            <w:tcW w:w="3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Term B-2 Loan</w:t>
            </w:r>
          </w:p>
        </w:tc>
      </w:tr>
      <w:tr>
        <w:trPr>
          <w:trHeight w:val="216"/>
        </w:trPr>
        <w:tc>
          <w:tcPr>
            <w:tcW w:w="4320" w:type="dxa"/>
            <w:vAlign w:val="bottom"/>
            <w:tcBorders>
              <w:left w:val="single" w:sz="8" w:color="auto"/>
              <w:right w:val="single" w:sz="8" w:color="auto"/>
            </w:tcBorders>
          </w:tcPr>
          <w:p>
            <w:pPr>
              <w:spacing w:after="0"/>
              <w:rPr>
                <w:sz w:val="18"/>
                <w:szCs w:val="18"/>
                <w:color w:val="auto"/>
              </w:rPr>
            </w:pPr>
          </w:p>
        </w:tc>
        <w:tc>
          <w:tcPr>
            <w:tcW w:w="3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Commitment</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Commitment Ratio (as of</w:t>
            </w:r>
          </w:p>
        </w:tc>
      </w:tr>
      <w:tr>
        <w:trPr>
          <w:trHeight w:val="234"/>
        </w:trPr>
        <w:tc>
          <w:tcPr>
            <w:tcW w:w="4320" w:type="dxa"/>
            <w:vAlign w:val="bottom"/>
            <w:tcBorders>
              <w:left w:val="single" w:sz="8" w:color="auto"/>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Effective Date)</w:t>
            </w:r>
          </w:p>
        </w:tc>
      </w:tr>
      <w:tr>
        <w:trPr>
          <w:trHeight w:val="206"/>
        </w:trPr>
        <w:tc>
          <w:tcPr>
            <w:tcW w:w="43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Wells Fargo Bank, National Association</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$85,000,000</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bl>
    <w:p>
      <w:pPr>
        <w:sectPr>
          <w:pgSz w:w="11900" w:h="16838" w:orient="portrait"/>
          <w:cols w:equalWidth="0" w:num="1">
            <w:col w:w="11200"/>
          </w:cols>
          <w:pgMar w:left="240" w:top="584" w:right="459" w:bottom="1440" w:gutter="0" w:footer="0" w:header="0"/>
        </w:sectPr>
      </w:pPr>
    </w:p>
    <w:bookmarkStart w:id="43" w:name="page44"/>
    <w:bookmarkEnd w:id="43"/>
    <w:p>
      <w:pPr>
        <w:jc w:val="right"/>
        <w:ind w:right="40"/>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00860" cy="986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80086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DIRECTOR RESTRICTED STOCK AWARD AGREEMENT</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2017 EQUITY AND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right="120" w:firstLine="632"/>
        <w:spacing w:after="0" w:line="257" w:lineRule="auto"/>
        <w:rPr>
          <w:sz w:val="20"/>
          <w:szCs w:val="20"/>
          <w:color w:val="auto"/>
        </w:rPr>
      </w:pPr>
      <w:r>
        <w:rPr>
          <w:rFonts w:ascii="Arial" w:cs="Arial" w:eastAsia="Arial" w:hAnsi="Arial"/>
          <w:sz w:val="18"/>
          <w:szCs w:val="18"/>
          <w:color w:val="auto"/>
        </w:rPr>
        <w:t>Gray Television,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to Participant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the Restricted Stock covering the class of Stock (the “</w:t>
      </w:r>
      <w:r>
        <w:rPr>
          <w:rFonts w:ascii="Arial" w:cs="Arial" w:eastAsia="Arial" w:hAnsi="Arial"/>
          <w:sz w:val="18"/>
          <w:szCs w:val="18"/>
          <w:b w:val="1"/>
          <w:bCs w:val="1"/>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in the amounts and on the dates indicated below, subject to the Participant’s continuous service with the Company and/or its Subsidiaries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applicable vesting date (such period, the “</w:t>
      </w:r>
      <w:r>
        <w:rPr>
          <w:rFonts w:ascii="Arial" w:cs="Arial" w:eastAsia="Arial" w:hAnsi="Arial"/>
          <w:sz w:val="18"/>
          <w:szCs w:val="18"/>
          <w:b w:val="1"/>
          <w:bCs w:val="1"/>
          <w:i w:val="1"/>
          <w:iCs w:val="1"/>
          <w:color w:val="auto"/>
        </w:rPr>
        <w:t>Vesting Period</w:t>
      </w:r>
      <w:r>
        <w:rPr>
          <w:rFonts w:ascii="Arial" w:cs="Arial" w:eastAsia="Arial" w:hAnsi="Arial"/>
          <w:sz w:val="18"/>
          <w:szCs w:val="18"/>
          <w:color w:val="auto"/>
        </w:rPr>
        <w:t>”). The Award is subject to the terms and conditions set forth on this page and in Attachment A hereto (collectively,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as well as those in the Company’s 2017 Equity and Incentive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which is incorporated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7250430" cy="7416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50430" cy="74168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Vesting Date</w:t>
            </w:r>
          </w:p>
        </w:tc>
        <w:tc>
          <w:tcPr>
            <w:tcW w:w="2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Class of Shares</w:t>
            </w:r>
          </w:p>
        </w:tc>
        <w:tc>
          <w:tcPr>
            <w:tcW w:w="526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8"/>
                <w:szCs w:val="18"/>
                <w:b w:val="1"/>
                <w:bCs w:val="1"/>
                <w:color w:val="auto"/>
              </w:rPr>
              <w:t>Number of Shares</w:t>
            </w:r>
          </w:p>
        </w:tc>
      </w:tr>
      <w:tr>
        <w:trPr>
          <w:trHeight w:val="210"/>
        </w:trPr>
        <w:tc>
          <w:tcPr>
            <w:tcW w:w="36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r>
      <w:tr>
        <w:trPr>
          <w:trHeight w:val="210"/>
        </w:trPr>
        <w:tc>
          <w:tcPr>
            <w:tcW w:w="36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r>
      <w:tr>
        <w:trPr>
          <w:trHeight w:val="210"/>
        </w:trPr>
        <w:tc>
          <w:tcPr>
            <w:tcW w:w="36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r>
    </w:tbl>
    <w:p>
      <w:pPr>
        <w:ind w:left="40"/>
        <w:spacing w:after="0"/>
        <w:rPr>
          <w:sz w:val="20"/>
          <w:szCs w:val="20"/>
          <w:color w:val="auto"/>
        </w:rPr>
      </w:pPr>
      <w:r>
        <w:rPr>
          <w:rFonts w:ascii="Arial" w:cs="Arial" w:eastAsia="Arial" w:hAnsi="Arial"/>
          <w:sz w:val="18"/>
          <w:szCs w:val="18"/>
          <w:b w:val="1"/>
          <w:bCs w:val="1"/>
          <w:color w:val="auto"/>
        </w:rPr>
        <w:t>Total Number of Restricted Shares</w:t>
      </w:r>
    </w:p>
    <w:p>
      <w:pPr>
        <w:spacing w:after="0" w:line="224" w:lineRule="exact"/>
        <w:rPr>
          <w:sz w:val="20"/>
          <w:szCs w:val="20"/>
          <w:color w:val="auto"/>
        </w:rPr>
      </w:pPr>
    </w:p>
    <w:p>
      <w:pPr>
        <w:ind w:left="20" w:right="120" w:firstLine="632"/>
        <w:spacing w:after="0" w:line="264" w:lineRule="auto"/>
        <w:rPr>
          <w:sz w:val="20"/>
          <w:szCs w:val="20"/>
          <w:color w:val="auto"/>
        </w:rPr>
      </w:pPr>
      <w:r>
        <w:rPr>
          <w:rFonts w:ascii="Arial" w:cs="Arial" w:eastAsia="Arial" w:hAnsi="Arial"/>
          <w:sz w:val="18"/>
          <w:szCs w:val="18"/>
          <w:color w:val="auto"/>
        </w:rPr>
        <w:t>The Participant acknowledges that he or she (a) has received a copy of the Plan and the prospectus for the Plan, (b) has had an opportunity to review the terms of this Agreement, the Plan, and the prospectus for the Plan, and (c) understands and agrees to the terms and conditions of this Agreement and the Plan.</w:t>
      </w:r>
    </w:p>
    <w:p>
      <w:pPr>
        <w:spacing w:after="0" w:line="181" w:lineRule="exact"/>
        <w:rPr>
          <w:sz w:val="20"/>
          <w:szCs w:val="20"/>
          <w:color w:val="auto"/>
        </w:rPr>
      </w:pPr>
    </w:p>
    <w:p>
      <w:pPr>
        <w:jc w:val="both"/>
        <w:ind w:left="20" w:right="240" w:firstLine="632"/>
        <w:spacing w:after="0" w:line="264" w:lineRule="auto"/>
        <w:rPr>
          <w:sz w:val="20"/>
          <w:szCs w:val="20"/>
          <w:color w:val="auto"/>
        </w:rPr>
      </w:pPr>
      <w:r>
        <w:rPr>
          <w:rFonts w:ascii="Arial" w:cs="Arial" w:eastAsia="Arial" w:hAnsi="Arial"/>
          <w:sz w:val="18"/>
          <w:szCs w:val="18"/>
          <w:color w:val="auto"/>
        </w:rPr>
        <w:t>As of the Date of Grant, this Agreement and the Plan set forth the entire understanding between Participant and the Company regarding the Award and supersede all prior oral and written agreements on the terms of the Award. Capitalized terms not explicitly defined herein are defined in the Plan. In the event of any conflict between the terms of the Award and the Plan, the terms of the Plan will control.</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GRAY TELEVISION, INC.</w:t>
            </w:r>
          </w:p>
        </w:tc>
        <w:tc>
          <w:tcPr>
            <w:tcW w:w="5580" w:type="dxa"/>
            <w:vAlign w:val="bottom"/>
            <w:gridSpan w:val="2"/>
          </w:tcPr>
          <w:p>
            <w:pPr>
              <w:ind w:left="580"/>
              <w:spacing w:after="0"/>
              <w:rPr>
                <w:sz w:val="20"/>
                <w:szCs w:val="20"/>
                <w:color w:val="auto"/>
              </w:rPr>
            </w:pPr>
            <w:r>
              <w:rPr>
                <w:rFonts w:ascii="Arial" w:cs="Arial" w:eastAsia="Arial" w:hAnsi="Arial"/>
                <w:sz w:val="18"/>
                <w:szCs w:val="18"/>
                <w:b w:val="1"/>
                <w:bCs w:val="1"/>
                <w:color w:val="auto"/>
              </w:rPr>
              <w:t>PARTICIPANT:</w:t>
            </w:r>
          </w:p>
        </w:tc>
        <w:tc>
          <w:tcPr>
            <w:tcW w:w="84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4"/>
                <w:szCs w:val="24"/>
                <w:color w:val="auto"/>
              </w:rPr>
            </w:pPr>
          </w:p>
        </w:tc>
        <w:tc>
          <w:tcPr>
            <w:tcW w:w="1020" w:type="dxa"/>
            <w:vAlign w:val="bottom"/>
          </w:tcPr>
          <w:p>
            <w:pPr>
              <w:ind w:left="5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426"/>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540" w:type="dxa"/>
            <w:vAlign w:val="bottom"/>
            <w:tcBorders>
              <w:bottom w:val="single" w:sz="8" w:color="auto"/>
            </w:tcBorders>
          </w:tcPr>
          <w:p>
            <w:pPr>
              <w:spacing w:after="0"/>
              <w:rPr>
                <w:sz w:val="24"/>
                <w:szCs w:val="24"/>
                <w:color w:val="auto"/>
              </w:rPr>
            </w:pPr>
          </w:p>
        </w:tc>
        <w:tc>
          <w:tcPr>
            <w:tcW w:w="1020" w:type="dxa"/>
            <w:vAlign w:val="bottom"/>
          </w:tcPr>
          <w:p>
            <w:pPr>
              <w:ind w:left="580"/>
              <w:spacing w:after="0"/>
              <w:rPr>
                <w:sz w:val="20"/>
                <w:szCs w:val="20"/>
                <w:color w:val="auto"/>
              </w:rPr>
            </w:pPr>
            <w:r>
              <w:rPr>
                <w:rFonts w:ascii="Arial" w:cs="Arial" w:eastAsia="Arial" w:hAnsi="Arial"/>
                <w:sz w:val="18"/>
                <w:szCs w:val="18"/>
                <w:color w:val="auto"/>
                <w:w w:val="97"/>
              </w:rPr>
              <w:t>Date:</w:t>
            </w:r>
          </w:p>
        </w:tc>
        <w:tc>
          <w:tcPr>
            <w:tcW w:w="45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426"/>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26"/>
        </w:trPr>
        <w:tc>
          <w:tcPr>
            <w:tcW w:w="5040" w:type="dxa"/>
            <w:vAlign w:val="bottom"/>
            <w:gridSpan w:val="2"/>
          </w:tcPr>
          <w:p>
            <w:pPr>
              <w:spacing w:after="0"/>
              <w:rPr>
                <w:sz w:val="20"/>
                <w:szCs w:val="20"/>
                <w:color w:val="auto"/>
              </w:rPr>
            </w:pPr>
            <w:r>
              <w:rPr>
                <w:rFonts w:ascii="Arial" w:cs="Arial" w:eastAsia="Arial" w:hAnsi="Arial"/>
                <w:sz w:val="18"/>
                <w:szCs w:val="18"/>
                <w:color w:val="auto"/>
              </w:rPr>
              <w:t>Date:</w:t>
            </w:r>
          </w:p>
        </w:tc>
        <w:tc>
          <w:tcPr>
            <w:tcW w:w="10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74"/>
        </w:trPr>
        <w:tc>
          <w:tcPr>
            <w:tcW w:w="500" w:type="dxa"/>
            <w:vAlign w:val="bottom"/>
          </w:tcPr>
          <w:p>
            <w:pPr>
              <w:spacing w:after="0"/>
              <w:rPr>
                <w:sz w:val="24"/>
                <w:szCs w:val="24"/>
                <w:color w:val="auto"/>
              </w:rPr>
            </w:pPr>
          </w:p>
        </w:tc>
        <w:tc>
          <w:tcPr>
            <w:tcW w:w="454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1"/>
        </w:trPr>
        <w:tc>
          <w:tcPr>
            <w:tcW w:w="500" w:type="dxa"/>
            <w:vAlign w:val="bottom"/>
            <w:shd w:val="clear" w:color="auto" w:fill="808080"/>
          </w:tcPr>
          <w:p>
            <w:pPr>
              <w:spacing w:after="0"/>
              <w:rPr>
                <w:sz w:val="5"/>
                <w:szCs w:val="5"/>
                <w:color w:val="auto"/>
              </w:rPr>
            </w:pPr>
          </w:p>
        </w:tc>
        <w:tc>
          <w:tcPr>
            <w:tcW w:w="45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5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1" w:right="19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GRAY TELEVISION,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RESTRICTED STOCK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EQUITY AND INCENTIVE COMPENSATION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ATTACHMENT A</w:t>
      </w:r>
    </w:p>
    <w:p>
      <w:pPr>
        <w:spacing w:after="0" w:line="225" w:lineRule="exact"/>
        <w:rPr>
          <w:sz w:val="20"/>
          <w:szCs w:val="20"/>
          <w:color w:val="auto"/>
        </w:rPr>
      </w:pPr>
    </w:p>
    <w:p>
      <w:pPr>
        <w:jc w:val="both"/>
        <w:ind w:firstLine="656"/>
        <w:spacing w:after="0" w:line="261" w:lineRule="auto"/>
        <w:tabs>
          <w:tab w:leader="none" w:pos="1206"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Transfer of Restricted Shares</w:t>
      </w:r>
      <w:r>
        <w:rPr>
          <w:rFonts w:ascii="Arial" w:cs="Arial" w:eastAsia="Arial" w:hAnsi="Arial"/>
          <w:sz w:val="18"/>
          <w:szCs w:val="18"/>
          <w:color w:val="auto"/>
        </w:rPr>
        <w:t>. Subject to Section 15 of the Plan, the Restricted Shares shall not be transferable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Vesting pursuant to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hereof other than by will or pursuant to the laws of descent and distribution. Any purported transfer or encumbrance in violation of the provisions of this </w:t>
      </w:r>
      <w:r>
        <w:rPr>
          <w:rFonts w:ascii="Arial" w:cs="Arial" w:eastAsia="Arial" w:hAnsi="Arial"/>
          <w:sz w:val="18"/>
          <w:szCs w:val="18"/>
          <w:b w:val="1"/>
          <w:bCs w:val="1"/>
          <w:u w:val="single" w:color="auto"/>
          <w:color w:val="auto"/>
        </w:rPr>
        <w:t>Section</w:t>
      </w:r>
      <w:r>
        <w:rPr>
          <w:rFonts w:ascii="Arial" w:cs="Arial" w:eastAsia="Arial" w:hAnsi="Arial"/>
          <w:sz w:val="18"/>
          <w:szCs w:val="18"/>
          <w:color w:val="auto"/>
        </w:rPr>
        <w:t xml:space="preserve"> shall be void, and the other party to any such purported transaction shall not obtain any rights to or interest in such Restricted Shares.</w:t>
      </w:r>
    </w:p>
    <w:p>
      <w:pPr>
        <w:spacing w:after="0" w:line="180" w:lineRule="exact"/>
        <w:rPr>
          <w:rFonts w:ascii="Arial" w:cs="Arial" w:eastAsia="Arial" w:hAnsi="Arial"/>
          <w:sz w:val="18"/>
          <w:szCs w:val="18"/>
          <w:color w:val="auto"/>
        </w:rPr>
      </w:pPr>
    </w:p>
    <w:p>
      <w:pPr>
        <w:ind w:left="1240" w:hanging="584"/>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Restricted Shares</w:t>
      </w:r>
      <w:r>
        <w:rPr>
          <w:rFonts w:ascii="Arial" w:cs="Arial" w:eastAsia="Arial" w:hAnsi="Arial"/>
          <w:sz w:val="18"/>
          <w:szCs w:val="18"/>
          <w:color w:val="auto"/>
        </w:rPr>
        <w:t>.</w:t>
      </w:r>
    </w:p>
    <w:p>
      <w:pPr>
        <w:spacing w:after="0" w:line="229" w:lineRule="exact"/>
        <w:rPr>
          <w:sz w:val="20"/>
          <w:szCs w:val="20"/>
          <w:color w:val="auto"/>
        </w:rPr>
      </w:pPr>
    </w:p>
    <w:p>
      <w:pPr>
        <w:jc w:val="both"/>
        <w:ind w:left="1140" w:hanging="484"/>
        <w:spacing w:after="0" w:line="25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Restricted Shares covered by this Agreement shall become nonforfeitable (“</w:t>
      </w:r>
      <w:r>
        <w:rPr>
          <w:rFonts w:ascii="Arial" w:cs="Arial" w:eastAsia="Arial" w:hAnsi="Arial"/>
          <w:sz w:val="18"/>
          <w:szCs w:val="18"/>
          <w:b w:val="1"/>
          <w:bCs w:val="1"/>
          <w:i w:val="1"/>
          <w:iCs w:val="1"/>
          <w:color w:val="auto"/>
        </w:rPr>
        <w:t>Vest</w:t>
      </w:r>
      <w:r>
        <w:rPr>
          <w:rFonts w:ascii="Arial" w:cs="Arial" w:eastAsia="Arial" w:hAnsi="Arial"/>
          <w:sz w:val="18"/>
          <w:szCs w:val="18"/>
          <w:color w:val="auto"/>
        </w:rPr>
        <w:t xml:space="preserve">” or similar terms) as provided on the first page of this Agreement. Any Restricted Shares that do not so Vest will be forfeited, including, except as provided in </w:t>
      </w:r>
      <w:r>
        <w:rPr>
          <w:rFonts w:ascii="Arial" w:cs="Arial" w:eastAsia="Arial" w:hAnsi="Arial"/>
          <w:sz w:val="18"/>
          <w:szCs w:val="18"/>
          <w:b w:val="1"/>
          <w:bCs w:val="1"/>
          <w:u w:val="single" w:color="auto"/>
          <w:color w:val="auto"/>
        </w:rPr>
        <w:t>Section 2(b)</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Section 2(c)</w:t>
      </w:r>
      <w:r>
        <w:rPr>
          <w:rFonts w:ascii="Arial" w:cs="Arial" w:eastAsia="Arial" w:hAnsi="Arial"/>
          <w:sz w:val="18"/>
          <w:szCs w:val="18"/>
          <w:color w:val="auto"/>
        </w:rPr>
        <w:t xml:space="preserve"> below, if the Participant ceases to be continuously providing services to the Company or a Subsidiary prior to the end of the Vesting Period. For purposes of this Agreement, “continuously providing services” (or substantially similar terms) means the absence of any termination of the Participant’s service with the Company or a Subsidiary.</w:t>
      </w:r>
    </w:p>
    <w:p>
      <w:pPr>
        <w:spacing w:after="0" w:line="184" w:lineRule="exact"/>
        <w:rPr>
          <w:rFonts w:ascii="Arial" w:cs="Arial" w:eastAsia="Arial" w:hAnsi="Arial"/>
          <w:sz w:val="18"/>
          <w:szCs w:val="18"/>
          <w:color w:val="auto"/>
        </w:rPr>
      </w:pPr>
    </w:p>
    <w:p>
      <w:pPr>
        <w:jc w:val="both"/>
        <w:ind w:left="1140" w:hanging="484"/>
        <w:spacing w:after="0" w:line="256"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b w:val="1"/>
          <w:bCs w:val="1"/>
          <w:u w:val="single" w:color="auto"/>
          <w:color w:val="auto"/>
        </w:rPr>
        <w:t>Section 2(a)</w:t>
      </w:r>
      <w:r>
        <w:rPr>
          <w:rFonts w:ascii="Arial" w:cs="Arial" w:eastAsia="Arial" w:hAnsi="Arial"/>
          <w:sz w:val="18"/>
          <w:szCs w:val="18"/>
          <w:color w:val="auto"/>
        </w:rPr>
        <w:t xml:space="preserve"> above, any Restricted Shares that have not previously Vested and have not been forfeited shall Vest (i) upon the Participant’s death or Disability prior to the end of the Vesting Period, and/or (ii) upon a Change in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such case, that the Participant was continuously providing services to the Company or any of its Subsidiaries through the date of death, Disability, or Change in Control. For purposes of this Agreement,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or similar terms, shall mean the Participant is unable to engage in any substantial gainful activity due to medically determinable physical or mental impairment expected to result in death or to last for a continuous period of not less than 12 months.</w:t>
      </w:r>
    </w:p>
    <w:p>
      <w:pPr>
        <w:spacing w:after="0" w:line="188" w:lineRule="exact"/>
        <w:rPr>
          <w:sz w:val="20"/>
          <w:szCs w:val="20"/>
          <w:color w:val="auto"/>
        </w:rPr>
      </w:pPr>
    </w:p>
    <w:p>
      <w:pPr>
        <w:jc w:val="both"/>
        <w:ind w:firstLine="656"/>
        <w:spacing w:after="0" w:line="258" w:lineRule="auto"/>
        <w:tabs>
          <w:tab w:leader="none" w:pos="1188"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a Shareholder</w:t>
      </w:r>
      <w:r>
        <w:rPr>
          <w:rFonts w:ascii="Arial" w:cs="Arial" w:eastAsia="Arial" w:hAnsi="Arial"/>
          <w:sz w:val="18"/>
          <w:szCs w:val="18"/>
          <w:color w:val="auto"/>
        </w:rPr>
        <w:t>. The Participant shall have all the rights of a shareholder with respect to the Restricted Shares, including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vote the Restricted Shares and receive all dividends paid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additional shares of Stock or other securities that the Participant may become entitled to receive pursuant to a stock dividend or other distribution shall be subject to the same restrictions as the Restricted Shares covered by this Agreement. For the avoidance of doubt, any such dividends or other distributions on the Restricted Shares will be deferred until, and paid contingent upon, the Vesting of such Restricted Shares.</w:t>
      </w:r>
    </w:p>
    <w:p>
      <w:pPr>
        <w:spacing w:after="0" w:line="183" w:lineRule="exact"/>
        <w:rPr>
          <w:rFonts w:ascii="Arial" w:cs="Arial" w:eastAsia="Arial" w:hAnsi="Arial"/>
          <w:sz w:val="18"/>
          <w:szCs w:val="18"/>
          <w:color w:val="auto"/>
        </w:rPr>
      </w:pPr>
    </w:p>
    <w:p>
      <w:pPr>
        <w:jc w:val="both"/>
        <w:ind w:firstLine="656"/>
        <w:spacing w:after="0" w:line="272" w:lineRule="auto"/>
        <w:tabs>
          <w:tab w:leader="none" w:pos="1296" w:val="left"/>
        </w:tabs>
        <w:numPr>
          <w:ilvl w:val="0"/>
          <w:numId w:val="29"/>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of Restricted Shares; Retention of Stock Certificates; Electronic Delivery</w:t>
      </w:r>
      <w:r>
        <w:rPr>
          <w:rFonts w:ascii="Arial" w:cs="Arial" w:eastAsia="Arial" w:hAnsi="Arial"/>
          <w:sz w:val="17"/>
          <w:szCs w:val="17"/>
          <w:color w:val="auto"/>
        </w:rPr>
        <w:t>. The Restricted Shares will be issued either (a)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certificate form or (b) in book entry form, registered in the name of the Participant, with legends or notations as applicable, referring to the terms, conditions, and restrictions set forth in this Agreement. Certificates representing the Restricted Shares, if any, will be held in custody by the Company together with a stock power endorsed in blank by the Participant with respect thereto, until those Restricted Shares have Vested in accordance with </w:t>
      </w:r>
      <w:r>
        <w:rPr>
          <w:rFonts w:ascii="Arial" w:cs="Arial" w:eastAsia="Arial" w:hAnsi="Arial"/>
          <w:sz w:val="17"/>
          <w:szCs w:val="17"/>
          <w:b w:val="1"/>
          <w:bCs w:val="1"/>
          <w:u w:val="single" w:color="auto"/>
          <w:color w:val="auto"/>
        </w:rPr>
        <w:t>Section 2</w:t>
      </w:r>
      <w:r>
        <w:rPr>
          <w:rFonts w:ascii="Arial" w:cs="Arial" w:eastAsia="Arial" w:hAnsi="Arial"/>
          <w:sz w:val="17"/>
          <w:szCs w:val="17"/>
          <w:color w:val="auto"/>
        </w:rPr>
        <w:t>. The Company, in its sole discretion, may deliver any documents related to the Restricted Shares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5" w:name="page46"/>
    <w:bookmarkEnd w:id="45"/>
    <w:p>
      <w:pPr>
        <w:ind w:left="-60" w:firstLine="656"/>
        <w:spacing w:after="0" w:line="282" w:lineRule="auto"/>
        <w:tabs>
          <w:tab w:leader="none" w:pos="1106"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 The number of Restricted Shares subject to this Agreement and the other terms and conditions of the grant evidenced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subject to adjustment as provided in Section 11 of the Plan.</w:t>
      </w:r>
    </w:p>
    <w:p>
      <w:pPr>
        <w:spacing w:after="0" w:line="161" w:lineRule="exact"/>
        <w:rPr>
          <w:rFonts w:ascii="Arial" w:cs="Arial" w:eastAsia="Arial" w:hAnsi="Arial"/>
          <w:sz w:val="18"/>
          <w:szCs w:val="18"/>
          <w:color w:val="auto"/>
        </w:rPr>
      </w:pPr>
    </w:p>
    <w:p>
      <w:pPr>
        <w:jc w:val="both"/>
        <w:ind w:left="-60" w:firstLine="656"/>
        <w:spacing w:after="0" w:line="266" w:lineRule="auto"/>
        <w:tabs>
          <w:tab w:leader="none" w:pos="1083"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 The Company shall make reasonable efforts to comply with all applicable federal and state securities laws;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notwithstanding any other provision of the Plan and this Agreement, the Company shall not be obligated to issue any shares of Stock pursuant to this Agreement if the issuance thereof would result in a violation of any such law.</w:t>
      </w:r>
    </w:p>
    <w:p>
      <w:pPr>
        <w:spacing w:after="0" w:line="176" w:lineRule="exact"/>
        <w:rPr>
          <w:rFonts w:ascii="Arial" w:cs="Arial" w:eastAsia="Arial" w:hAnsi="Arial"/>
          <w:sz w:val="18"/>
          <w:szCs w:val="18"/>
          <w:color w:val="auto"/>
        </w:rPr>
      </w:pPr>
    </w:p>
    <w:p>
      <w:pPr>
        <w:ind w:left="-60" w:firstLine="656"/>
        <w:spacing w:after="0" w:line="282" w:lineRule="auto"/>
        <w:tabs>
          <w:tab w:leader="none" w:pos="1169"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 to Future Awards</w:t>
      </w:r>
      <w:r>
        <w:rPr>
          <w:rFonts w:ascii="Arial" w:cs="Arial" w:eastAsia="Arial" w:hAnsi="Arial"/>
          <w:sz w:val="18"/>
          <w:szCs w:val="18"/>
          <w:color w:val="auto"/>
        </w:rPr>
        <w:t>. The grant of the Restricted Shares under this Agreement to the Participant is a voluntary, discretionary award</w:t>
      </w:r>
      <w:r>
        <w:rPr>
          <w:rFonts w:ascii="Arial" w:cs="Arial" w:eastAsia="Arial" w:hAnsi="Arial"/>
          <w:sz w:val="18"/>
          <w:szCs w:val="18"/>
          <w:b w:val="1"/>
          <w:bCs w:val="1"/>
          <w:color w:val="auto"/>
        </w:rPr>
        <w:t xml:space="preserve"> </w:t>
      </w:r>
      <w:r>
        <w:rPr>
          <w:rFonts w:ascii="Arial" w:cs="Arial" w:eastAsia="Arial" w:hAnsi="Arial"/>
          <w:sz w:val="18"/>
          <w:szCs w:val="18"/>
          <w:color w:val="auto"/>
        </w:rPr>
        <w:t>being made on a one-time basis and it does not constitute a commitment to make any future awards.</w:t>
      </w:r>
    </w:p>
    <w:p>
      <w:pPr>
        <w:spacing w:after="0" w:line="161" w:lineRule="exact"/>
        <w:rPr>
          <w:rFonts w:ascii="Arial" w:cs="Arial" w:eastAsia="Arial" w:hAnsi="Arial"/>
          <w:sz w:val="18"/>
          <w:szCs w:val="18"/>
          <w:color w:val="auto"/>
        </w:rPr>
      </w:pPr>
    </w:p>
    <w:p>
      <w:pPr>
        <w:jc w:val="both"/>
        <w:ind w:left="-60" w:firstLine="656"/>
        <w:spacing w:after="0" w:line="266" w:lineRule="auto"/>
        <w:tabs>
          <w:tab w:leader="none" w:pos="1173"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Any amendment to the Plan shall be deemed to be an amendment to this Agreement to the extent that the amendment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amendment shall impair the rights of the Participant under this Agreement without the Participant’s written consent.</w:t>
      </w:r>
    </w:p>
    <w:p>
      <w:pPr>
        <w:spacing w:after="0" w:line="176" w:lineRule="exact"/>
        <w:rPr>
          <w:rFonts w:ascii="Arial" w:cs="Arial" w:eastAsia="Arial" w:hAnsi="Arial"/>
          <w:sz w:val="18"/>
          <w:szCs w:val="18"/>
          <w:color w:val="auto"/>
        </w:rPr>
      </w:pPr>
    </w:p>
    <w:p>
      <w:pPr>
        <w:jc w:val="both"/>
        <w:ind w:left="-60" w:firstLine="656"/>
        <w:spacing w:after="0" w:line="266" w:lineRule="auto"/>
        <w:tabs>
          <w:tab w:leader="none" w:pos="1196"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that one or more of the provisions of this Agreement shall be invalidated for any reason by a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any provision so invalidated shall be deemed to be separable from the other provisions hereof, and the remaining provisions hereof shall continue to be valid and fully enforceable.</w:t>
      </w:r>
    </w:p>
    <w:p>
      <w:pPr>
        <w:spacing w:after="0" w:line="176" w:lineRule="exact"/>
        <w:rPr>
          <w:rFonts w:ascii="Arial" w:cs="Arial" w:eastAsia="Arial" w:hAnsi="Arial"/>
          <w:sz w:val="18"/>
          <w:szCs w:val="18"/>
          <w:color w:val="auto"/>
        </w:rPr>
      </w:pPr>
    </w:p>
    <w:p>
      <w:pPr>
        <w:jc w:val="both"/>
        <w:ind w:left="-60" w:firstLine="656"/>
        <w:spacing w:after="0" w:line="289" w:lineRule="auto"/>
        <w:tabs>
          <w:tab w:leader="none" w:pos="1128" w:val="left"/>
        </w:tabs>
        <w:numPr>
          <w:ilvl w:val="0"/>
          <w:numId w:val="30"/>
        </w:numPr>
        <w:rPr>
          <w:rFonts w:ascii="Arial" w:cs="Arial" w:eastAsia="Arial" w:hAnsi="Arial"/>
          <w:sz w:val="17"/>
          <w:szCs w:val="17"/>
          <w:color w:val="auto"/>
        </w:rPr>
      </w:pPr>
      <w:r>
        <w:rPr>
          <w:rFonts w:ascii="Arial" w:cs="Arial" w:eastAsia="Arial" w:hAnsi="Arial"/>
          <w:sz w:val="17"/>
          <w:szCs w:val="17"/>
          <w:b w:val="1"/>
          <w:bCs w:val="1"/>
          <w:u w:val="single" w:color="auto"/>
          <w:color w:val="auto"/>
        </w:rPr>
        <w:t>Relation to Plan</w:t>
      </w:r>
      <w:r>
        <w:rPr>
          <w:rFonts w:ascii="Arial" w:cs="Arial" w:eastAsia="Arial" w:hAnsi="Arial"/>
          <w:sz w:val="17"/>
          <w:szCs w:val="17"/>
          <w:color w:val="auto"/>
        </w:rPr>
        <w:t>. This Agreement is subject to the terms and conditions of the Plan. In the event of any inconsistency between the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and the Plan, the Plan shall govern. The Committee acting pursuant to the Plan, as constituted from time to time, shall, except as expressly provided otherwise herein or in the Plan, have the right to determine any questions that arise in connection with this Agreement.</w:t>
      </w:r>
    </w:p>
    <w:p>
      <w:pPr>
        <w:spacing w:after="0" w:line="158" w:lineRule="exact"/>
        <w:rPr>
          <w:rFonts w:ascii="Arial" w:cs="Arial" w:eastAsia="Arial" w:hAnsi="Arial"/>
          <w:sz w:val="17"/>
          <w:szCs w:val="17"/>
          <w:color w:val="auto"/>
        </w:rPr>
      </w:pPr>
    </w:p>
    <w:p>
      <w:pPr>
        <w:jc w:val="both"/>
        <w:ind w:left="-60" w:firstLine="656"/>
        <w:spacing w:after="0" w:line="266" w:lineRule="auto"/>
        <w:tabs>
          <w:tab w:leader="none" w:pos="1135"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Disclosures</w:t>
      </w:r>
      <w:r>
        <w:rPr>
          <w:rFonts w:ascii="Arial" w:cs="Arial" w:eastAsia="Arial" w:hAnsi="Arial"/>
          <w:sz w:val="18"/>
          <w:szCs w:val="18"/>
          <w:color w:val="auto"/>
        </w:rPr>
        <w:t>. Notwithstanding anything in this Agreement to the contrary, nothing in this Agreement prevents the Participant from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prior notice to the Company, information to governmental authorities regarding possible legal violations or otherwise testifying or participating in any investigation or proceeding by any governmental authorities regarding possible legal violations.</w:t>
      </w:r>
    </w:p>
    <w:p>
      <w:pPr>
        <w:spacing w:after="0" w:line="176" w:lineRule="exact"/>
        <w:rPr>
          <w:rFonts w:ascii="Arial" w:cs="Arial" w:eastAsia="Arial" w:hAnsi="Arial"/>
          <w:sz w:val="18"/>
          <w:szCs w:val="18"/>
          <w:color w:val="auto"/>
        </w:rPr>
      </w:pPr>
    </w:p>
    <w:p>
      <w:pPr>
        <w:ind w:left="-60" w:firstLine="656"/>
        <w:spacing w:after="0" w:line="282" w:lineRule="auto"/>
        <w:tabs>
          <w:tab w:leader="none" w:pos="1223"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with the internal substantive laws of the State of Georgia,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any principle of law that would result in the application of the law of any other jurisdiction.</w:t>
      </w:r>
    </w:p>
    <w:p>
      <w:pPr>
        <w:spacing w:after="0" w:line="161" w:lineRule="exact"/>
        <w:rPr>
          <w:rFonts w:ascii="Arial" w:cs="Arial" w:eastAsia="Arial" w:hAnsi="Arial"/>
          <w:sz w:val="18"/>
          <w:szCs w:val="18"/>
          <w:color w:val="auto"/>
        </w:rPr>
      </w:pPr>
    </w:p>
    <w:p>
      <w:pPr>
        <w:ind w:left="-60" w:firstLine="656"/>
        <w:spacing w:after="0" w:line="347" w:lineRule="auto"/>
        <w:tabs>
          <w:tab w:leader="none" w:pos="1151" w:val="left"/>
        </w:tabs>
        <w:numPr>
          <w:ilvl w:val="0"/>
          <w:numId w:val="30"/>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 Without limiting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1</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the provisions of this Agreement shall inure to the benefit of, and be binding</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successors, administrators, heirs, legal representatives and assigns of the Participant, and the successors and assigns of the Company.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30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Hilton H. Howell, Jr., certify that:</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Gray Television,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320"/>
        <w:spacing w:after="0" w:line="255"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291"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8, 2017</w:t>
            </w:r>
          </w:p>
        </w:tc>
        <w:tc>
          <w:tcPr>
            <w:tcW w:w="6420" w:type="dxa"/>
            <w:vAlign w:val="bottom"/>
            <w:gridSpan w:val="2"/>
          </w:tcPr>
          <w:p>
            <w:pPr>
              <w:ind w:left="2080"/>
              <w:spacing w:after="0"/>
              <w:rPr>
                <w:sz w:val="20"/>
                <w:szCs w:val="20"/>
                <w:color w:val="auto"/>
              </w:rPr>
            </w:pPr>
            <w:r>
              <w:rPr>
                <w:rFonts w:ascii="Arial" w:cs="Arial" w:eastAsia="Arial" w:hAnsi="Arial"/>
                <w:sz w:val="18"/>
                <w:szCs w:val="18"/>
                <w:color w:val="auto"/>
              </w:rPr>
              <w:t>By: /s/ Hilton H. Howell, Jr.</w:t>
            </w:r>
          </w:p>
        </w:tc>
      </w:tr>
      <w:tr>
        <w:trPr>
          <w:trHeight w:val="195"/>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Hilton H. Howell, Jr.</w:t>
            </w:r>
          </w:p>
        </w:tc>
      </w:t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C. Ryan, certify that:</w:t>
      </w:r>
    </w:p>
    <w:p>
      <w:pPr>
        <w:spacing w:after="0" w:line="27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Gray Television,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jc w:val="both"/>
        <w:ind w:left="1300" w:right="380" w:hanging="320"/>
        <w:spacing w:after="0" w:line="281"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320"/>
        <w:spacing w:after="0" w:line="255"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291"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8, 2017</w:t>
            </w:r>
          </w:p>
        </w:tc>
        <w:tc>
          <w:tcPr>
            <w:tcW w:w="6420" w:type="dxa"/>
            <w:vAlign w:val="bottom"/>
            <w:gridSpan w:val="2"/>
          </w:tcPr>
          <w:p>
            <w:pPr>
              <w:ind w:left="2080"/>
              <w:spacing w:after="0"/>
              <w:rPr>
                <w:sz w:val="20"/>
                <w:szCs w:val="20"/>
                <w:color w:val="auto"/>
              </w:rPr>
            </w:pPr>
            <w:r>
              <w:rPr>
                <w:rFonts w:ascii="Arial" w:cs="Arial" w:eastAsia="Arial" w:hAnsi="Arial"/>
                <w:sz w:val="18"/>
                <w:szCs w:val="18"/>
                <w:color w:val="auto"/>
              </w:rPr>
              <w:t>By: /s/ James C. Ryan</w:t>
            </w:r>
          </w:p>
        </w:tc>
      </w:tr>
      <w:tr>
        <w:trPr>
          <w:trHeight w:val="195"/>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C. Ryan</w:t>
            </w:r>
          </w:p>
        </w:tc>
      </w:t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 18 U.S.C. SECTION 1350</w:t>
      </w:r>
    </w:p>
    <w:p>
      <w:pPr>
        <w:spacing w:after="0" w:line="229"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connection with the accompanying quarterly report on Form 10-Q of Gray Television, Inc. (the “</w:t>
      </w:r>
      <w:r>
        <w:rPr>
          <w:rFonts w:ascii="Arial" w:cs="Arial" w:eastAsia="Arial" w:hAnsi="Arial"/>
          <w:sz w:val="17"/>
          <w:szCs w:val="17"/>
          <w:u w:val="single" w:color="auto"/>
          <w:color w:val="auto"/>
        </w:rPr>
        <w:t>Company</w:t>
      </w:r>
      <w:r>
        <w:rPr>
          <w:rFonts w:ascii="Arial" w:cs="Arial" w:eastAsia="Arial" w:hAnsi="Arial"/>
          <w:sz w:val="17"/>
          <w:szCs w:val="17"/>
          <w:color w:val="auto"/>
        </w:rPr>
        <w:t>”) for the quarterly period ended June 30, 2017 (the “</w:t>
      </w:r>
      <w:r>
        <w:rPr>
          <w:rFonts w:ascii="Arial" w:cs="Arial" w:eastAsia="Arial" w:hAnsi="Arial"/>
          <w:sz w:val="17"/>
          <w:szCs w:val="17"/>
          <w:u w:val="single" w:color="auto"/>
          <w:color w:val="auto"/>
        </w:rPr>
        <w:t>Periodic Report</w:t>
      </w:r>
      <w:r>
        <w:rPr>
          <w:rFonts w:ascii="Arial" w:cs="Arial" w:eastAsia="Arial" w:hAnsi="Arial"/>
          <w:sz w:val="17"/>
          <w:szCs w:val="17"/>
          <w:color w:val="auto"/>
        </w:rPr>
        <w:t>”), the undersigned Chief Executive Officer of the Company, hereby certifies pursuant to Title 18, Section 1350 United States Code, as adopted pursuant to Section 906 of the Sarbanes-Oxley Act of 2002, to the best of his individual knowledge and belief, that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Dated: August 8,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Hilton H. Howell,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Hilton H.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Gray Television, Inc. and will be retained by Gray Television, Inc. and furnished to the SEC or its staff upon request.</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 18 U.S.C. SECTION 1350</w:t>
      </w:r>
    </w:p>
    <w:p>
      <w:pPr>
        <w:spacing w:after="0" w:line="22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connection with the accompanying quarterly report on Form 10-Q of Gray Television, Inc. (the “</w:t>
      </w:r>
      <w:r>
        <w:rPr>
          <w:rFonts w:ascii="Arial" w:cs="Arial" w:eastAsia="Arial" w:hAnsi="Arial"/>
          <w:sz w:val="17"/>
          <w:szCs w:val="17"/>
          <w:u w:val="single" w:color="auto"/>
          <w:color w:val="auto"/>
        </w:rPr>
        <w:t>Company</w:t>
      </w:r>
      <w:r>
        <w:rPr>
          <w:rFonts w:ascii="Arial" w:cs="Arial" w:eastAsia="Arial" w:hAnsi="Arial"/>
          <w:sz w:val="17"/>
          <w:szCs w:val="17"/>
          <w:color w:val="auto"/>
        </w:rPr>
        <w:t>”) for the quarterly period ended June 30, 2017 (the “</w:t>
      </w:r>
      <w:r>
        <w:rPr>
          <w:rFonts w:ascii="Arial" w:cs="Arial" w:eastAsia="Arial" w:hAnsi="Arial"/>
          <w:sz w:val="17"/>
          <w:szCs w:val="17"/>
          <w:u w:val="single" w:color="auto"/>
          <w:color w:val="auto"/>
        </w:rPr>
        <w:t>Periodic Report</w:t>
      </w:r>
      <w:r>
        <w:rPr>
          <w:rFonts w:ascii="Arial" w:cs="Arial" w:eastAsia="Arial" w:hAnsi="Arial"/>
          <w:sz w:val="17"/>
          <w:szCs w:val="17"/>
          <w:color w:val="auto"/>
        </w:rPr>
        <w:t>”), the undersigned Chief Financial Officer of the Company, hereby certifies pursuant to Title 18, Section 1350 United States Code, as adopted pursuant to Section 906 of the Sarbanes-Oxley Act of 2002, to the best of his individual knowledge and belief, that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Dated: August 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C. Ryan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C.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Gray Television, Inc. and will be retained by Gray Television, Inc. and furnished to the SEC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2"/>
    </w:lvl>
  </w:abstractNum>
  <w:abstractNum w:abstractNumId="2">
    <w:nsid w:val="3F2DBA31"/>
    <w:multiLevelType w:val="hybridMultilevel"/>
    <w:lvl w:ilvl="0">
      <w:lvlJc w:val="left"/>
      <w:lvlText w:val="%1."/>
      <w:numFmt w:val="decimal"/>
      <w:start w:val="3"/>
    </w:lvl>
  </w:abstractNum>
  <w:abstractNum w:abstractNumId="3">
    <w:nsid w:val="7C83E458"/>
    <w:multiLevelType w:val="hybridMultilevel"/>
    <w:lvl w:ilvl="0">
      <w:lvlJc w:val="left"/>
      <w:lvlText w:val="%1."/>
      <w:numFmt w:val="decimal"/>
      <w:start w:val="4"/>
    </w:lvl>
  </w:abstractNum>
  <w:abstractNum w:abstractNumId="4">
    <w:nsid w:val="257130A3"/>
    <w:multiLevelType w:val="hybridMultilevel"/>
    <w:lvl w:ilvl="0">
      <w:lvlJc w:val="left"/>
      <w:lvlText w:val="%1."/>
      <w:numFmt w:val="decimal"/>
      <w:start w:val="5"/>
    </w:lvl>
  </w:abstractNum>
  <w:abstractNum w:abstractNumId="5">
    <w:nsid w:val="62BBD95A"/>
    <w:multiLevelType w:val="hybridMultilevel"/>
    <w:lvl w:ilvl="0">
      <w:lvlJc w:val="left"/>
      <w:lvlText w:val="%1."/>
      <w:numFmt w:val="decimal"/>
      <w:start w:val="6"/>
    </w:lvl>
  </w:abstractNum>
  <w:abstractNum w:abstractNumId="6">
    <w:nsid w:val="436C6125"/>
    <w:multiLevelType w:val="hybridMultilevel"/>
    <w:lvl w:ilvl="0">
      <w:lvlJc w:val="left"/>
      <w:lvlText w:val="%1."/>
      <w:numFmt w:val="decimal"/>
      <w:start w:val="7"/>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8"/>
    </w:lvl>
  </w:abstractNum>
  <w:abstractNum w:abstractNumId="10">
    <w:nsid w:val="2443A858"/>
    <w:multiLevelType w:val="hybridMultilevel"/>
    <w:lvl w:ilvl="0">
      <w:lvlJc w:val="left"/>
      <w:lvlText w:val="%1."/>
      <w:numFmt w:val="decimal"/>
      <w:start w:val="9"/>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lvl w:ilvl="1">
      <w:lvlJc w:val="left"/>
      <w:lvlText w:val="(%2)"/>
      <w:numFmt w:val="lowerLetter"/>
      <w:start w:val="1"/>
    </w:lvl>
  </w:abstractNum>
  <w:abstractNum w:abstractNumId="13">
    <w:nsid w:val="75A2A8D4"/>
    <w:multiLevelType w:val="hybridMultilevel"/>
    <w:lvl w:ilvl="0">
      <w:lvlJc w:val="left"/>
      <w:lvlText w:val="%1"/>
      <w:numFmt w:val="lowerRoman"/>
      <w:start w:val="1"/>
    </w:lvl>
    <w:lvl w:ilvl="1">
      <w:lvlJc w:val="left"/>
      <w:lvlText w:val="(%2)"/>
      <w:numFmt w:val="lowerLetter"/>
      <w:start w:val="2"/>
    </w:lvl>
  </w:abstractNum>
  <w:abstractNum w:abstractNumId="14">
    <w:nsid w:val="8EDBDAB"/>
    <w:multiLevelType w:val="hybridMultilevel"/>
    <w:lvl w:ilvl="0">
      <w:lvlJc w:val="left"/>
      <w:lvlText w:val="(%1)"/>
      <w:numFmt w:val="lowerRoman"/>
      <w:start w:val="4"/>
    </w:lvl>
    <w:lvl w:ilvl="1">
      <w:lvlJc w:val="left"/>
      <w:lvlText w:val="(%2)"/>
      <w:numFmt w:val="lowerLetter"/>
      <w:start w:val="5"/>
    </w:lvl>
  </w:abstractNum>
  <w:abstractNum w:abstractNumId="15">
    <w:nsid w:val="79838CB2"/>
    <w:multiLevelType w:val="hybridMultilevel"/>
    <w:lvl w:ilvl="0">
      <w:lvlJc w:val="left"/>
      <w:lvlText w:val="%1."/>
      <w:numFmt w:val="decimal"/>
      <w:start w:val="3"/>
    </w:lvl>
    <w:lvl w:ilvl="1">
      <w:lvlJc w:val="left"/>
      <w:lvlText w:val="(%2)"/>
      <w:numFmt w:val="lowerLetter"/>
      <w:start w:val="1"/>
    </w:lvl>
  </w:abstractNum>
  <w:abstractNum w:abstractNumId="16">
    <w:nsid w:val="4353D0CD"/>
    <w:multiLevelType w:val="hybridMultilevel"/>
    <w:lvl w:ilvl="0">
      <w:lvlJc w:val="left"/>
      <w:lvlText w:val="(%1)"/>
      <w:numFmt w:val="lowerLetter"/>
      <w:start w:val="2"/>
    </w:lvl>
  </w:abstractNum>
  <w:abstractNum w:abstractNumId="17">
    <w:nsid w:val="B03E0C6"/>
    <w:multiLevelType w:val="hybridMultilevel"/>
    <w:lvl w:ilvl="0">
      <w:lvlJc w:val="left"/>
      <w:lvlText w:val="(%1)"/>
      <w:numFmt w:val="lowerLetter"/>
      <w:start w:val="3"/>
    </w:lvl>
  </w:abstractNum>
  <w:abstractNum w:abstractNumId="18">
    <w:nsid w:val="189A769B"/>
    <w:multiLevelType w:val="hybridMultilevel"/>
    <w:lvl w:ilvl="0">
      <w:lvlJc w:val="left"/>
      <w:lvlText w:val="(%1)"/>
      <w:numFmt w:val="lowerLetter"/>
      <w:start w:val="4"/>
    </w:lvl>
  </w:abstractNum>
  <w:abstractNum w:abstractNumId="19">
    <w:nsid w:val="54E49EB4"/>
    <w:multiLevelType w:val="hybridMultilevel"/>
    <w:lvl w:ilvl="0">
      <w:lvlJc w:val="left"/>
      <w:lvlText w:val="%1."/>
      <w:numFmt w:val="decimal"/>
      <w:start w:val="4"/>
    </w:lvl>
    <w:lvl w:ilvl="1">
      <w:lvlJc w:val="left"/>
      <w:lvlText w:val="(%2)"/>
      <w:numFmt w:val="lowerLetter"/>
      <w:start w:val="1"/>
    </w:lvl>
  </w:abstractNum>
  <w:abstractNum w:abstractNumId="20">
    <w:nsid w:val="71F3245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1">
    <w:nsid w:val="2CA88611"/>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22">
    <w:nsid w:val="836C40E"/>
    <w:multiLevelType w:val="hybridMultilevel"/>
    <w:lvl w:ilvl="0">
      <w:lvlJc w:val="left"/>
      <w:lvlText w:val="%1"/>
      <w:numFmt w:val="lowerLetter"/>
      <w:start w:val="1"/>
    </w:lvl>
    <w:lvl w:ilvl="1">
      <w:lvlJc w:val="left"/>
      <w:lvlText w:val="(%2)"/>
      <w:numFmt w:val="lowerRoman"/>
      <w:start w:val="4"/>
    </w:lvl>
  </w:abstractNum>
  <w:abstractNum w:abstractNumId="23">
    <w:nsid w:val="2901D82"/>
    <w:multiLevelType w:val="hybridMultilevel"/>
    <w:lvl w:ilvl="0">
      <w:lvlJc w:val="left"/>
      <w:lvlText w:val="(%1)"/>
      <w:numFmt w:val="lowerLetter"/>
      <w:start w:val="7"/>
    </w:lvl>
    <w:lvl w:ilvl="1">
      <w:lvlJc w:val="left"/>
      <w:lvlText w:val="%2"/>
      <w:numFmt w:val="lowerRoman"/>
      <w:start w:val="1"/>
    </w:lvl>
  </w:abstractNum>
  <w:abstractNum w:abstractNumId="24">
    <w:nsid w:val="3A95F874"/>
    <w:multiLevelType w:val="hybridMultilevel"/>
    <w:lvl w:ilvl="0">
      <w:lvlJc w:val="left"/>
      <w:lvlText w:val="%1."/>
      <w:numFmt w:val="decimal"/>
      <w:start w:val="5"/>
    </w:lvl>
  </w:abstractNum>
  <w:abstractNum w:abstractNumId="25">
    <w:nsid w:val="8138641"/>
    <w:multiLevelType w:val="hybridMultilevel"/>
    <w:lvl w:ilvl="0">
      <w:lvlJc w:val="left"/>
      <w:lvlText w:val="%1."/>
      <w:numFmt w:val="decimal"/>
      <w:start w:val="6"/>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3"/>
    </w:lvl>
  </w:abstractNum>
  <w:abstractNum w:abstractNumId="29">
    <w:nsid w:val="6CEAF087"/>
    <w:multiLevelType w:val="hybridMultilevel"/>
    <w:lvl w:ilvl="0">
      <w:lvlJc w:val="left"/>
      <w:lvlText w:val="%1."/>
      <w:numFmt w:val="decimal"/>
      <w:start w:val="5"/>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50" Type="http://schemas.openxmlformats.org/officeDocument/2006/relationships/hyperlink" Target="http://www.sec.gov/Archives/edgar/data/43196/000143774917007877/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2019-12-29T05:29:18Z</dcterms:created>
  <dcterms:modified xsi:type="dcterms:W3CDTF">2019-12-29T05:29:18Z</dcterms:modified>
</cp:coreProperties>
</file>